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r>
        <w:rPr>
          <w:rFonts w:ascii="Times New Roman" w:hAnsi="Times New Roman" w:eastAsia="仿宋_GB2312"/>
          <w:color w:val="000000"/>
          <w:sz w:val="32"/>
        </w:rPr>
        <w:t>昆生环复〔2026〕1</w:t>
      </w:r>
      <w:r>
        <w:rPr>
          <w:rFonts w:hint="eastAsia" w:ascii="Times New Roman" w:hAnsi="Times New Roman" w:eastAsia="仿宋_GB2312"/>
          <w:color w:val="000000"/>
          <w:sz w:val="32"/>
        </w:rPr>
        <w:t>7</w:t>
      </w:r>
      <w:r>
        <w:rPr>
          <w:rFonts w:ascii="Times New Roman" w:hAnsi="Times New Roman" w:eastAsia="仿宋_GB2312"/>
          <w:color w:val="000000"/>
          <w:sz w:val="32"/>
        </w:rPr>
        <w:t>-</w:t>
      </w:r>
      <w:r>
        <w:rPr>
          <w:rFonts w:hint="eastAsia" w:ascii="Times New Roman" w:hAnsi="Times New Roman" w:eastAsia="仿宋_GB2312"/>
          <w:color w:val="000000"/>
          <w:sz w:val="32"/>
        </w:rPr>
        <w:t>7</w:t>
      </w:r>
      <w:r>
        <w:rPr>
          <w:rFonts w:ascii="Times New Roman" w:hAnsi="Times New Roman" w:eastAsia="仿宋_GB2312"/>
          <w:color w:val="000000"/>
          <w:sz w:val="32"/>
        </w:rPr>
        <w:t>号</w:t>
      </w:r>
    </w:p>
    <w:p>
      <w:pPr>
        <w:jc w:val="center"/>
        <w:rPr>
          <w:rFonts w:ascii="Times New Roman" w:hAnsi="Times New Roman" w:eastAsia="仿宋_GB2312"/>
          <w:color w:val="000000"/>
          <w:sz w:val="32"/>
        </w:rPr>
      </w:pPr>
    </w:p>
    <w:p>
      <w:pPr>
        <w:rPr>
          <w:rFonts w:ascii="Times New Roman" w:hAnsi="Times New Roman"/>
          <w:sz w:val="32"/>
          <w:szCs w:val="32"/>
        </w:rPr>
      </w:pPr>
    </w:p>
    <w:p>
      <w:pPr>
        <w:spacing w:line="700" w:lineRule="exact"/>
        <w:jc w:val="center"/>
        <w:rPr>
          <w:rFonts w:ascii="Times New Roman" w:hAnsi="Times New Roman" w:eastAsia="方正小标宋_GBK"/>
          <w:sz w:val="44"/>
          <w:szCs w:val="44"/>
        </w:rPr>
      </w:pPr>
      <w:r>
        <w:rPr>
          <w:rFonts w:ascii="方正小标宋_GBK" w:hAnsi="方正小标宋_GBK" w:eastAsia="方正小标宋_GBK"/>
          <w:sz w:val="44"/>
          <w:szCs w:val="44"/>
        </w:rPr>
        <w:t>昆明市生态环境局</w:t>
      </w:r>
    </w:p>
    <w:p>
      <w:pPr>
        <w:spacing w:line="700" w:lineRule="exact"/>
        <w:jc w:val="center"/>
        <w:rPr>
          <w:rFonts w:ascii="Times New Roman" w:hAnsi="Times New Roman" w:eastAsia="方正小标宋_GBK"/>
          <w:sz w:val="44"/>
          <w:szCs w:val="44"/>
        </w:rPr>
      </w:pPr>
      <w:r>
        <w:rPr>
          <w:rFonts w:ascii="方正小标宋_GBK" w:hAnsi="方正小标宋_GBK" w:eastAsia="方正小标宋_GBK"/>
          <w:sz w:val="44"/>
          <w:szCs w:val="44"/>
        </w:rPr>
        <w:t>关于《烟用农机产品生产制造及烟机配件喷烤漆项目环境影响报告表》的批复</w:t>
      </w:r>
    </w:p>
    <w:p>
      <w:pPr>
        <w:spacing w:line="700" w:lineRule="exact"/>
        <w:rPr>
          <w:rFonts w:ascii="Times New Roman" w:hAnsi="Times New Roman"/>
          <w:szCs w:val="21"/>
        </w:rPr>
      </w:pPr>
      <w:r>
        <w:rPr>
          <w:rFonts w:ascii="Times New Roman" w:hAnsi="Times New Roman"/>
          <w:sz w:val="32"/>
          <w:szCs w:val="32"/>
        </w:rPr>
        <w:t xml:space="preserve"> </w:t>
      </w:r>
    </w:p>
    <w:p>
      <w:pPr>
        <w:suppressAutoHyphens/>
        <w:autoSpaceDE w:val="0"/>
        <w:spacing w:line="560" w:lineRule="exact"/>
        <w:rPr>
          <w:rFonts w:ascii="Times New Roman" w:hAnsi="Times New Roman" w:eastAsia="仿宋_GB2312"/>
          <w:sz w:val="32"/>
          <w:szCs w:val="32"/>
        </w:rPr>
      </w:pPr>
      <w:r>
        <w:rPr>
          <w:rFonts w:ascii="仿宋_GB2312" w:hAnsi="Times New Roman" w:eastAsia="仿宋_GB2312"/>
          <w:sz w:val="32"/>
          <w:szCs w:val="32"/>
        </w:rPr>
        <w:t>云南烟草机械有限责任公司：</w:t>
      </w:r>
    </w:p>
    <w:p>
      <w:pPr>
        <w:suppressAutoHyphens/>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你单位委托云南远洁环保咨询有限公司编制的《云南烟草机械有限责任公司烟用农机产品生产制造及烟机配件喷烤漆项目环境影响报告表》（以下简称《报告表》，项目代码：</w:t>
      </w:r>
      <w:r>
        <w:rPr>
          <w:rFonts w:ascii="Times New Roman" w:hAnsi="Times New Roman" w:eastAsia="仿宋_GB2312"/>
          <w:sz w:val="32"/>
          <w:szCs w:val="32"/>
        </w:rPr>
        <w:t>2511-530131-04-02-294481</w:t>
      </w:r>
      <w:r>
        <w:rPr>
          <w:rFonts w:ascii="仿宋_GB2312" w:hAnsi="Times New Roman" w:eastAsia="仿宋_GB2312"/>
          <w:sz w:val="32"/>
          <w:szCs w:val="32"/>
        </w:rPr>
        <w:t>）收悉。根据《中华人民共和国环境影响评价法》第二十二条、《建设项目环境保护管理条例》第九条，经研究，批复如下：</w:t>
      </w:r>
    </w:p>
    <w:p>
      <w:pPr>
        <w:suppressAutoHyphens/>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一、项目建设地点位于昆明经开区昌宏路</w:t>
      </w:r>
      <w:r>
        <w:rPr>
          <w:rFonts w:ascii="Times New Roman" w:hAnsi="Times New Roman" w:eastAsia="仿宋_GB2312"/>
          <w:sz w:val="32"/>
          <w:szCs w:val="32"/>
        </w:rPr>
        <w:t>33</w:t>
      </w:r>
      <w:r>
        <w:rPr>
          <w:rFonts w:ascii="仿宋_GB2312" w:hAnsi="Times New Roman" w:eastAsia="仿宋_GB2312"/>
          <w:sz w:val="32"/>
          <w:szCs w:val="32"/>
        </w:rPr>
        <w:t>号云南烟草机械有限责任公司烟用农机基地内。主要建设内容为：取消原有烟用包装机械大修理项目，并在主厂房生产区内新增</w:t>
      </w:r>
      <w:r>
        <w:rPr>
          <w:rFonts w:ascii="Times New Roman" w:hAnsi="Times New Roman" w:eastAsia="仿宋_GB2312"/>
          <w:sz w:val="32"/>
          <w:szCs w:val="32"/>
        </w:rPr>
        <w:t>29</w:t>
      </w:r>
      <w:r>
        <w:rPr>
          <w:rFonts w:ascii="仿宋_GB2312" w:hAnsi="Times New Roman" w:eastAsia="仿宋_GB2312"/>
          <w:sz w:val="32"/>
          <w:szCs w:val="32"/>
        </w:rPr>
        <w:t>台自主研发制造的烟用农机产品生产设备；在辅房</w:t>
      </w:r>
      <w:r>
        <w:rPr>
          <w:rFonts w:ascii="Times New Roman" w:hAnsi="Times New Roman" w:eastAsia="仿宋_GB2312"/>
          <w:sz w:val="32"/>
          <w:szCs w:val="32"/>
        </w:rPr>
        <w:t>2</w:t>
      </w:r>
      <w:r>
        <w:rPr>
          <w:rFonts w:ascii="仿宋_GB2312" w:hAnsi="Times New Roman" w:eastAsia="仿宋_GB2312"/>
          <w:sz w:val="32"/>
          <w:szCs w:val="32"/>
        </w:rPr>
        <w:t>东南角建设一个烟机配件喷烤漆房，并配套建设油漆暂存库、废气收集处理设施以及一般固废暂存间，其余办公场所、危废暂存间等依托原有。项目建成后，设计生产规模为烟用农机产品</w:t>
      </w:r>
      <w:r>
        <w:rPr>
          <w:rFonts w:ascii="Times New Roman" w:hAnsi="Times New Roman" w:eastAsia="仿宋_GB2312"/>
          <w:sz w:val="32"/>
          <w:szCs w:val="32"/>
        </w:rPr>
        <w:t>553</w:t>
      </w:r>
      <w:r>
        <w:rPr>
          <w:rFonts w:ascii="仿宋_GB2312" w:hAnsi="Times New Roman" w:eastAsia="仿宋_GB2312"/>
          <w:sz w:val="32"/>
          <w:szCs w:val="32"/>
        </w:rPr>
        <w:t>万件</w:t>
      </w:r>
      <w:r>
        <w:rPr>
          <w:rFonts w:ascii="Times New Roman" w:hAnsi="Times New Roman" w:eastAsia="仿宋_GB2312"/>
          <w:sz w:val="32"/>
          <w:szCs w:val="32"/>
        </w:rPr>
        <w:t>/</w:t>
      </w:r>
      <w:r>
        <w:rPr>
          <w:rFonts w:ascii="仿宋_GB2312" w:hAnsi="Times New Roman" w:eastAsia="仿宋_GB2312"/>
          <w:sz w:val="32"/>
          <w:szCs w:val="32"/>
        </w:rPr>
        <w:t>年，烟机配件喷烤漆</w:t>
      </w:r>
      <w:r>
        <w:rPr>
          <w:rFonts w:ascii="Times New Roman" w:hAnsi="Times New Roman" w:eastAsia="仿宋_GB2312"/>
          <w:sz w:val="32"/>
          <w:szCs w:val="32"/>
        </w:rPr>
        <w:t>670m</w:t>
      </w:r>
      <w:r>
        <w:rPr>
          <w:rFonts w:ascii="Times New Roman" w:hAnsi="Times New Roman" w:eastAsia="仿宋_GB2312"/>
          <w:sz w:val="32"/>
          <w:szCs w:val="32"/>
          <w:vertAlign w:val="superscript"/>
        </w:rPr>
        <w:t>2</w:t>
      </w:r>
      <w:r>
        <w:rPr>
          <w:rFonts w:ascii="Times New Roman" w:hAnsi="Times New Roman" w:eastAsia="仿宋_GB2312"/>
          <w:sz w:val="32"/>
          <w:szCs w:val="32"/>
        </w:rPr>
        <w:t>/</w:t>
      </w:r>
      <w:r>
        <w:rPr>
          <w:rFonts w:ascii="仿宋_GB2312" w:hAnsi="Times New Roman" w:eastAsia="仿宋_GB2312"/>
          <w:sz w:val="32"/>
          <w:szCs w:val="32"/>
        </w:rPr>
        <w:t>年。</w:t>
      </w:r>
    </w:p>
    <w:p>
      <w:pPr>
        <w:widowControl/>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项目总投资</w:t>
      </w:r>
      <w:r>
        <w:rPr>
          <w:rFonts w:ascii="Times New Roman" w:hAnsi="Times New Roman" w:eastAsia="仿宋_GB2312"/>
          <w:sz w:val="32"/>
          <w:szCs w:val="32"/>
        </w:rPr>
        <w:t>50</w:t>
      </w:r>
      <w:r>
        <w:rPr>
          <w:rFonts w:ascii="仿宋_GB2312" w:hAnsi="Times New Roman" w:eastAsia="仿宋_GB2312"/>
          <w:sz w:val="32"/>
          <w:szCs w:val="32"/>
        </w:rPr>
        <w:t>万元，其中环保投资</w:t>
      </w:r>
      <w:r>
        <w:rPr>
          <w:rFonts w:ascii="Times New Roman" w:hAnsi="Times New Roman" w:eastAsia="仿宋_GB2312"/>
          <w:sz w:val="32"/>
          <w:szCs w:val="32"/>
        </w:rPr>
        <w:t>37</w:t>
      </w:r>
      <w:r>
        <w:rPr>
          <w:rFonts w:ascii="仿宋_GB2312" w:hAnsi="Times New Roman" w:eastAsia="仿宋_GB2312"/>
          <w:sz w:val="32"/>
          <w:szCs w:val="32"/>
        </w:rPr>
        <w:t>万元。</w:t>
      </w:r>
    </w:p>
    <w:p>
      <w:pPr>
        <w:widowControl/>
        <w:autoSpaceDE w:val="0"/>
        <w:spacing w:line="560" w:lineRule="exact"/>
        <w:ind w:firstLine="640" w:firstLineChars="200"/>
        <w:rPr>
          <w:rFonts w:ascii="Times New Roman" w:hAnsi="Times New Roman" w:eastAsia="仿宋_GB2312"/>
          <w:sz w:val="32"/>
          <w:szCs w:val="32"/>
          <w:u w:val="single"/>
        </w:rPr>
      </w:pPr>
      <w:r>
        <w:rPr>
          <w:rFonts w:ascii="仿宋_GB2312" w:hAnsi="Times New Roman" w:eastAsia="仿宋_GB2312"/>
          <w:sz w:val="32"/>
          <w:szCs w:val="32"/>
        </w:rPr>
        <w:t>根据昆明市生态环境工程评估中心出具的《关于对</w:t>
      </w:r>
      <w:r>
        <w:rPr>
          <w:rFonts w:hint="eastAsia" w:ascii="仿宋_GB2312" w:eastAsia="仿宋_GB2312"/>
          <w:sz w:val="32"/>
          <w:szCs w:val="32"/>
        </w:rPr>
        <w:t>〈</w:t>
      </w:r>
      <w:r>
        <w:rPr>
          <w:rFonts w:ascii="仿宋_GB2312" w:hAnsi="Times New Roman" w:eastAsia="仿宋_GB2312"/>
          <w:sz w:val="32"/>
          <w:szCs w:val="32"/>
        </w:rPr>
        <w:t>云南烟草机械有限责任公司烟用农机产品生产制造及烟机配件喷烤漆项目环境影响报告表</w:t>
      </w:r>
      <w:r>
        <w:rPr>
          <w:rFonts w:hint="eastAsia" w:ascii="仿宋_GB2312" w:eastAsia="仿宋_GB2312"/>
          <w:sz w:val="32"/>
          <w:szCs w:val="32"/>
        </w:rPr>
        <w:t>〉</w:t>
      </w:r>
      <w:r>
        <w:rPr>
          <w:rFonts w:ascii="仿宋_GB2312" w:hAnsi="Times New Roman" w:eastAsia="仿宋_GB2312"/>
          <w:sz w:val="32"/>
          <w:szCs w:val="32"/>
        </w:rPr>
        <w:t>的技术评估意见》（昆环评估意见〔</w:t>
      </w:r>
      <w:r>
        <w:rPr>
          <w:rFonts w:ascii="Times New Roman" w:hAnsi="Times New Roman" w:eastAsia="仿宋_GB2312"/>
          <w:sz w:val="32"/>
          <w:szCs w:val="32"/>
        </w:rPr>
        <w:t>2026</w:t>
      </w:r>
      <w:r>
        <w:rPr>
          <w:rFonts w:ascii="仿宋_GB2312" w:hAnsi="Times New Roman" w:eastAsia="仿宋_GB2312"/>
          <w:sz w:val="32"/>
          <w:szCs w:val="32"/>
        </w:rPr>
        <w:t>〕</w:t>
      </w:r>
      <w:r>
        <w:rPr>
          <w:rFonts w:ascii="Times New Roman" w:hAnsi="Times New Roman" w:eastAsia="仿宋_GB2312"/>
          <w:sz w:val="32"/>
          <w:szCs w:val="32"/>
        </w:rPr>
        <w:t>17-2</w:t>
      </w:r>
      <w:r>
        <w:rPr>
          <w:rFonts w:ascii="仿宋_GB2312" w:hAnsi="Times New Roman" w:eastAsia="仿宋_GB2312"/>
          <w:sz w:val="32"/>
          <w:szCs w:val="32"/>
        </w:rPr>
        <w:t>号</w:t>
      </w:r>
      <w:r>
        <w:rPr>
          <w:rFonts w:hint="eastAsia" w:ascii="仿宋_GB2312" w:hAnsi="Times New Roman" w:eastAsia="仿宋_GB2312"/>
          <w:sz w:val="32"/>
          <w:szCs w:val="32"/>
        </w:rPr>
        <w:t>）</w:t>
      </w:r>
      <w:r>
        <w:rPr>
          <w:rFonts w:ascii="仿宋_GB2312" w:hAnsi="Times New Roman" w:eastAsia="仿宋_GB2312"/>
          <w:sz w:val="32"/>
          <w:szCs w:val="32"/>
        </w:rPr>
        <w:t>，在全面落实《报告表》提出的各项生态保护和污染防治措施后，项目建设和运营的不良环境影响可以得到缓解和控制，同意项目按《报告表》所述工程内容、规模、功能、环保对策措施进行建设。</w:t>
      </w:r>
    </w:p>
    <w:p>
      <w:pPr>
        <w:suppressAutoHyphens/>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二、项目建设及营运期间重点做好以下工作。</w:t>
      </w:r>
    </w:p>
    <w:p>
      <w:pPr>
        <w:suppressAutoHyphens/>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r>
        <w:rPr>
          <w:rFonts w:ascii="仿宋_GB2312" w:hAnsi="Times New Roman" w:eastAsia="仿宋_GB2312"/>
          <w:sz w:val="32"/>
          <w:szCs w:val="32"/>
        </w:rPr>
        <w:t>的原则建设给排水、污水处理及回用系统，并与区域排水系统相协调。</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项目运营期无生产废水产生，生活污水经预处理后达《污水综合排放标准》（</w:t>
      </w:r>
      <w:r>
        <w:rPr>
          <w:rFonts w:ascii="Times New Roman" w:hAnsi="Times New Roman" w:eastAsia="仿宋_GB2312"/>
          <w:sz w:val="32"/>
          <w:szCs w:val="32"/>
        </w:rPr>
        <w:t>GB8978-1996</w:t>
      </w:r>
      <w:r>
        <w:rPr>
          <w:rFonts w:ascii="仿宋_GB2312" w:hAnsi="Times New Roman" w:eastAsia="仿宋_GB2312"/>
          <w:sz w:val="32"/>
          <w:szCs w:val="32"/>
        </w:rPr>
        <w:t>）表</w:t>
      </w:r>
      <w:r>
        <w:rPr>
          <w:rFonts w:ascii="Times New Roman" w:hAnsi="Times New Roman" w:eastAsia="仿宋_GB2312"/>
          <w:sz w:val="32"/>
          <w:szCs w:val="32"/>
        </w:rPr>
        <w:t>4</w:t>
      </w:r>
      <w:r>
        <w:rPr>
          <w:rFonts w:ascii="仿宋_GB2312" w:hAnsi="Times New Roman" w:eastAsia="仿宋_GB2312"/>
          <w:sz w:val="32"/>
          <w:szCs w:val="32"/>
        </w:rPr>
        <w:t>三级标准后排入市政污水管网，最终进入昆明市第六水质净化厂处理。</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施工期间产生的施工废水经沉淀处理后回用于施工用水，不外排。生活污水依托已建化粪池处理后排入市政污水管网，最终进入昆明市第六水质净化厂处理。</w:t>
      </w:r>
    </w:p>
    <w:p>
      <w:pPr>
        <w:autoSpaceDE w:val="0"/>
        <w:spacing w:line="560" w:lineRule="exact"/>
        <w:ind w:firstLine="640" w:firstLineChars="200"/>
        <w:rPr>
          <w:rFonts w:ascii="Times New Roman" w:hAnsi="Times New Roman" w:eastAsia="仿宋_GB2312"/>
          <w:spacing w:val="4"/>
          <w:kern w:val="24"/>
          <w:sz w:val="32"/>
          <w:szCs w:val="32"/>
        </w:rPr>
      </w:pPr>
      <w:r>
        <w:rPr>
          <w:rFonts w:ascii="仿宋_GB2312" w:hAnsi="Times New Roman" w:eastAsia="仿宋_GB2312"/>
          <w:sz w:val="32"/>
          <w:szCs w:val="32"/>
        </w:rPr>
        <w:t>（二）严格落实各项大气污染防治措施，</w:t>
      </w:r>
      <w:r>
        <w:rPr>
          <w:rFonts w:ascii="仿宋_GB2312" w:hAnsi="Times New Roman" w:eastAsia="仿宋_GB2312"/>
          <w:spacing w:val="4"/>
          <w:kern w:val="24"/>
          <w:sz w:val="32"/>
          <w:szCs w:val="32"/>
        </w:rPr>
        <w:t>确保大气污染物达标排放。</w:t>
      </w:r>
    </w:p>
    <w:p>
      <w:pPr>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本项目共建设</w:t>
      </w:r>
      <w:r>
        <w:rPr>
          <w:rFonts w:ascii="Times New Roman" w:hAnsi="Times New Roman" w:eastAsia="仿宋_GB2312"/>
          <w:sz w:val="32"/>
          <w:szCs w:val="32"/>
        </w:rPr>
        <w:t>1</w:t>
      </w:r>
      <w:r>
        <w:rPr>
          <w:rFonts w:ascii="仿宋_GB2312" w:hAnsi="Times New Roman" w:eastAsia="仿宋_GB2312"/>
          <w:sz w:val="32"/>
          <w:szCs w:val="32"/>
        </w:rPr>
        <w:t>根排气筒，排气筒高度不低于</w:t>
      </w:r>
      <w:r>
        <w:rPr>
          <w:rFonts w:ascii="Times New Roman" w:hAnsi="Times New Roman" w:eastAsia="仿宋_GB2312"/>
          <w:sz w:val="32"/>
          <w:szCs w:val="32"/>
        </w:rPr>
        <w:t>15</w:t>
      </w:r>
      <w:r>
        <w:rPr>
          <w:rFonts w:ascii="仿宋_GB2312" w:hAnsi="Times New Roman" w:eastAsia="仿宋_GB2312"/>
          <w:sz w:val="32"/>
          <w:szCs w:val="32"/>
        </w:rPr>
        <w:t>米。</w:t>
      </w:r>
    </w:p>
    <w:p>
      <w:pPr>
        <w:autoSpaceDE w:val="0"/>
        <w:spacing w:line="560" w:lineRule="exact"/>
        <w:ind w:firstLine="640" w:firstLineChars="200"/>
        <w:rPr>
          <w:rFonts w:ascii="Times New Roman" w:hAnsi="Times New Roman" w:eastAsia="仿宋_GB2312"/>
          <w:sz w:val="32"/>
          <w:szCs w:val="32"/>
          <w:shd w:val="clear" w:color="auto" w:fill="FFFFFF"/>
        </w:rPr>
      </w:pPr>
      <w:r>
        <w:rPr>
          <w:rFonts w:ascii="仿宋_GB2312" w:hAnsi="Times New Roman" w:eastAsia="仿宋_GB2312"/>
          <w:sz w:val="32"/>
          <w:szCs w:val="32"/>
          <w:shd w:val="clear" w:color="auto" w:fill="FFFFFF"/>
        </w:rPr>
        <w:t>项目运营期产生的有组织非甲烷总烃、颗粒物、甲苯、二甲苯执行《大气污染物综合排放标准》（</w:t>
      </w:r>
      <w:r>
        <w:rPr>
          <w:rFonts w:ascii="Times New Roman" w:hAnsi="Times New Roman" w:eastAsia="仿宋_GB2312"/>
          <w:sz w:val="32"/>
          <w:szCs w:val="32"/>
        </w:rPr>
        <w:t>GB16297-1996</w:t>
      </w:r>
      <w:r>
        <w:rPr>
          <w:rFonts w:ascii="仿宋_GB2312" w:hAnsi="Times New Roman" w:eastAsia="仿宋_GB2312"/>
          <w:sz w:val="32"/>
          <w:szCs w:val="32"/>
          <w:shd w:val="clear" w:color="auto" w:fill="FFFFFF"/>
        </w:rPr>
        <w:t>）表</w:t>
      </w:r>
      <w:r>
        <w:rPr>
          <w:rFonts w:ascii="Times New Roman" w:hAnsi="Times New Roman" w:eastAsia="仿宋_GB2312"/>
          <w:sz w:val="32"/>
          <w:szCs w:val="32"/>
        </w:rPr>
        <w:t>2</w:t>
      </w:r>
      <w:r>
        <w:rPr>
          <w:rFonts w:ascii="仿宋_GB2312" w:hAnsi="Times New Roman" w:eastAsia="仿宋_GB2312"/>
          <w:sz w:val="32"/>
          <w:szCs w:val="32"/>
          <w:shd w:val="clear" w:color="auto" w:fill="FFFFFF"/>
        </w:rPr>
        <w:t>二级标准要求，排放速率严格</w:t>
      </w:r>
      <w:r>
        <w:rPr>
          <w:rFonts w:ascii="Times New Roman" w:hAnsi="Times New Roman" w:eastAsia="仿宋_GB2312"/>
          <w:sz w:val="32"/>
          <w:szCs w:val="32"/>
          <w:shd w:val="clear" w:color="auto" w:fill="FFFFFF"/>
        </w:rPr>
        <w:t>50%</w:t>
      </w:r>
      <w:r>
        <w:rPr>
          <w:rFonts w:ascii="仿宋_GB2312" w:hAnsi="Times New Roman" w:eastAsia="仿宋_GB2312"/>
          <w:sz w:val="32"/>
          <w:szCs w:val="32"/>
          <w:shd w:val="clear" w:color="auto" w:fill="FFFFFF"/>
        </w:rPr>
        <w:t>执行；有组织臭气浓度执行《恶臭污染物排放标准》（</w:t>
      </w:r>
      <w:r>
        <w:rPr>
          <w:rFonts w:ascii="Times New Roman" w:hAnsi="Times New Roman" w:eastAsia="仿宋_GB2312"/>
          <w:sz w:val="32"/>
          <w:szCs w:val="32"/>
        </w:rPr>
        <w:t>GB14554-93</w:t>
      </w:r>
      <w:r>
        <w:rPr>
          <w:rFonts w:ascii="仿宋_GB2312" w:hAnsi="Times New Roman" w:eastAsia="仿宋_GB2312"/>
          <w:sz w:val="32"/>
          <w:szCs w:val="32"/>
          <w:shd w:val="clear" w:color="auto" w:fill="FFFFFF"/>
        </w:rPr>
        <w:t>）表</w:t>
      </w:r>
      <w:r>
        <w:rPr>
          <w:rFonts w:ascii="Times New Roman" w:hAnsi="Times New Roman" w:eastAsia="仿宋_GB2312"/>
          <w:sz w:val="32"/>
          <w:szCs w:val="32"/>
        </w:rPr>
        <w:t>2</w:t>
      </w:r>
      <w:r>
        <w:rPr>
          <w:rFonts w:ascii="仿宋_GB2312" w:hAnsi="Times New Roman" w:eastAsia="仿宋_GB2312"/>
          <w:sz w:val="32"/>
          <w:szCs w:val="32"/>
          <w:shd w:val="clear" w:color="auto" w:fill="FFFFFF"/>
        </w:rPr>
        <w:t>中标准限值。</w:t>
      </w:r>
    </w:p>
    <w:p>
      <w:pPr>
        <w:autoSpaceDE w:val="0"/>
        <w:adjustRightInd w:val="0"/>
        <w:spacing w:line="560" w:lineRule="exact"/>
        <w:ind w:firstLine="640" w:firstLineChars="200"/>
        <w:rPr>
          <w:rFonts w:ascii="Times New Roman" w:hAnsi="Times New Roman" w:eastAsia="仿宋_GB2312"/>
          <w:sz w:val="32"/>
          <w:szCs w:val="32"/>
          <w:shd w:val="clear" w:color="auto" w:fill="FFFFFF"/>
        </w:rPr>
      </w:pPr>
      <w:r>
        <w:rPr>
          <w:rFonts w:ascii="仿宋_GB2312" w:hAnsi="Times New Roman" w:eastAsia="仿宋_GB2312"/>
          <w:sz w:val="32"/>
          <w:szCs w:val="32"/>
          <w:shd w:val="clear" w:color="auto" w:fill="FFFFFF"/>
        </w:rPr>
        <w:t>厂区内非甲烷总烃执行《挥发性有机物无组织排放控制标准》（</w:t>
      </w:r>
      <w:r>
        <w:rPr>
          <w:rFonts w:ascii="Times New Roman" w:hAnsi="Times New Roman" w:eastAsia="仿宋_GB2312"/>
          <w:sz w:val="32"/>
          <w:szCs w:val="32"/>
        </w:rPr>
        <w:t>GB37822-2019</w:t>
      </w:r>
      <w:r>
        <w:rPr>
          <w:rFonts w:ascii="仿宋_GB2312" w:hAnsi="Times New Roman" w:eastAsia="仿宋_GB2312"/>
          <w:sz w:val="32"/>
          <w:szCs w:val="32"/>
          <w:shd w:val="clear" w:color="auto" w:fill="FFFFFF"/>
        </w:rPr>
        <w:t>）附录</w:t>
      </w:r>
      <w:r>
        <w:rPr>
          <w:rFonts w:ascii="Times New Roman" w:hAnsi="Times New Roman" w:eastAsia="仿宋_GB2312"/>
          <w:sz w:val="32"/>
          <w:szCs w:val="32"/>
          <w:shd w:val="clear" w:color="auto" w:fill="FFFFFF"/>
        </w:rPr>
        <w:t>A.</w:t>
      </w:r>
      <w:r>
        <w:rPr>
          <w:rFonts w:ascii="Times New Roman" w:hAnsi="Times New Roman" w:eastAsia="仿宋_GB2312"/>
          <w:sz w:val="32"/>
          <w:szCs w:val="32"/>
        </w:rPr>
        <w:t>1</w:t>
      </w:r>
      <w:r>
        <w:rPr>
          <w:rFonts w:ascii="仿宋_GB2312" w:hAnsi="Times New Roman" w:eastAsia="仿宋_GB2312"/>
          <w:sz w:val="32"/>
          <w:szCs w:val="32"/>
          <w:shd w:val="clear" w:color="auto" w:fill="FFFFFF"/>
        </w:rPr>
        <w:t>限值要求。</w:t>
      </w:r>
    </w:p>
    <w:p>
      <w:pPr>
        <w:autoSpaceDE w:val="0"/>
        <w:adjustRightInd w:val="0"/>
        <w:spacing w:line="560" w:lineRule="exact"/>
        <w:ind w:firstLine="640" w:firstLineChars="200"/>
        <w:rPr>
          <w:rFonts w:ascii="Times New Roman" w:hAnsi="Times New Roman" w:eastAsia="仿宋_GB2312"/>
          <w:sz w:val="32"/>
          <w:szCs w:val="32"/>
          <w:shd w:val="clear" w:color="auto" w:fill="FFFFFF"/>
        </w:rPr>
      </w:pPr>
      <w:r>
        <w:rPr>
          <w:rFonts w:ascii="仿宋_GB2312" w:hAnsi="Times New Roman" w:eastAsia="仿宋_GB2312"/>
          <w:sz w:val="32"/>
          <w:szCs w:val="32"/>
          <w:shd w:val="clear" w:color="auto" w:fill="FFFFFF"/>
        </w:rPr>
        <w:t>厂界无组织非甲烷总烃、颗粒物、甲苯、二甲苯执行《大气污染物综合排放标准》（</w:t>
      </w:r>
      <w:r>
        <w:rPr>
          <w:rFonts w:ascii="Times New Roman" w:hAnsi="Times New Roman" w:eastAsia="仿宋_GB2312"/>
          <w:sz w:val="32"/>
          <w:szCs w:val="32"/>
        </w:rPr>
        <w:t>GB16297-1996</w:t>
      </w:r>
      <w:r>
        <w:rPr>
          <w:rFonts w:ascii="仿宋_GB2312" w:hAnsi="Times New Roman" w:eastAsia="仿宋_GB2312"/>
          <w:sz w:val="32"/>
          <w:szCs w:val="32"/>
          <w:shd w:val="clear" w:color="auto" w:fill="FFFFFF"/>
        </w:rPr>
        <w:t>）表</w:t>
      </w:r>
      <w:r>
        <w:rPr>
          <w:rFonts w:ascii="Times New Roman" w:hAnsi="Times New Roman" w:eastAsia="仿宋_GB2312"/>
          <w:sz w:val="32"/>
          <w:szCs w:val="32"/>
          <w:shd w:val="clear" w:color="auto" w:fill="FFFFFF"/>
        </w:rPr>
        <w:t>2</w:t>
      </w:r>
      <w:r>
        <w:rPr>
          <w:rFonts w:ascii="仿宋_GB2312" w:hAnsi="Times New Roman" w:eastAsia="仿宋_GB2312"/>
          <w:sz w:val="32"/>
          <w:szCs w:val="32"/>
          <w:shd w:val="clear" w:color="auto" w:fill="FFFFFF"/>
        </w:rPr>
        <w:t>无组织排放监控浓度限值要求；臭气浓度执行《恶臭污染物排放标准》（</w:t>
      </w:r>
      <w:r>
        <w:rPr>
          <w:rFonts w:ascii="Times New Roman" w:hAnsi="Times New Roman" w:eastAsia="仿宋_GB2312"/>
          <w:sz w:val="32"/>
          <w:szCs w:val="32"/>
        </w:rPr>
        <w:t>GB14554-93</w:t>
      </w:r>
      <w:r>
        <w:rPr>
          <w:rFonts w:ascii="仿宋_GB2312" w:hAnsi="Times New Roman" w:eastAsia="仿宋_GB2312"/>
          <w:sz w:val="32"/>
          <w:szCs w:val="32"/>
          <w:shd w:val="clear" w:color="auto" w:fill="FFFFFF"/>
        </w:rPr>
        <w:t>）表</w:t>
      </w:r>
      <w:r>
        <w:rPr>
          <w:rFonts w:ascii="Times New Roman" w:hAnsi="Times New Roman" w:eastAsia="仿宋_GB2312"/>
          <w:sz w:val="32"/>
          <w:szCs w:val="32"/>
          <w:shd w:val="clear" w:color="auto" w:fill="FFFFFF"/>
        </w:rPr>
        <w:t>1</w:t>
      </w:r>
      <w:r>
        <w:rPr>
          <w:rFonts w:ascii="仿宋_GB2312" w:hAnsi="Times New Roman" w:eastAsia="仿宋_GB2312"/>
          <w:sz w:val="32"/>
          <w:szCs w:val="32"/>
          <w:shd w:val="clear" w:color="auto" w:fill="FFFFFF"/>
        </w:rPr>
        <w:t>二级新改扩建限制要求。</w:t>
      </w:r>
    </w:p>
    <w:p>
      <w:pPr>
        <w:autoSpaceDE w:val="0"/>
        <w:adjustRightInd w:val="0"/>
        <w:spacing w:line="560" w:lineRule="exact"/>
        <w:ind w:firstLine="640" w:firstLineChars="200"/>
        <w:rPr>
          <w:rFonts w:ascii="Times New Roman" w:hAnsi="Times New Roman" w:eastAsia="仿宋_GB2312"/>
          <w:sz w:val="32"/>
          <w:szCs w:val="32"/>
          <w:shd w:val="clear" w:color="auto" w:fill="FFFFFF"/>
        </w:rPr>
      </w:pPr>
      <w:r>
        <w:rPr>
          <w:rFonts w:ascii="仿宋_GB2312" w:hAnsi="Times New Roman" w:eastAsia="仿宋_GB2312"/>
          <w:sz w:val="32"/>
          <w:szCs w:val="32"/>
          <w:shd w:val="clear" w:color="auto" w:fill="FFFFFF"/>
        </w:rPr>
        <w:t>施工期实行封闭施工、洒水降尘等措施，施工扬尘执行《大气污染物综合排放标准》（</w:t>
      </w:r>
      <w:r>
        <w:rPr>
          <w:rFonts w:ascii="Times New Roman" w:hAnsi="Times New Roman" w:eastAsia="仿宋_GB2312"/>
          <w:sz w:val="32"/>
          <w:szCs w:val="32"/>
        </w:rPr>
        <w:t>GB16297-1996</w:t>
      </w:r>
      <w:r>
        <w:rPr>
          <w:rFonts w:ascii="仿宋_GB2312" w:hAnsi="Times New Roman" w:eastAsia="仿宋_GB2312"/>
          <w:sz w:val="32"/>
          <w:szCs w:val="32"/>
          <w:shd w:val="clear" w:color="auto" w:fill="FFFFFF"/>
        </w:rPr>
        <w:t>）。</w:t>
      </w:r>
    </w:p>
    <w:p>
      <w:pPr>
        <w:autoSpaceDE w:val="0"/>
        <w:adjustRightInd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（三）</w:t>
      </w:r>
      <w:r>
        <w:rPr>
          <w:rFonts w:ascii="仿宋_GB2312" w:hAnsi="Times New Roman" w:eastAsia="仿宋_GB2312"/>
          <w:sz w:val="32"/>
          <w:szCs w:val="32"/>
        </w:rPr>
        <w:t>严格落实噪声污染防治措施。项目应合理布置噪声源并采取隔声、降噪及减震等措施，厂界西侧和北侧噪声执行《工业企业厂界环境噪声排放标准》（</w:t>
      </w:r>
      <w:r>
        <w:rPr>
          <w:rFonts w:ascii="Times New Roman" w:hAnsi="Times New Roman" w:eastAsia="仿宋_GB2312"/>
          <w:sz w:val="32"/>
          <w:szCs w:val="32"/>
        </w:rPr>
        <w:t>GB12348-2008</w:t>
      </w:r>
      <w:r>
        <w:rPr>
          <w:rFonts w:ascii="仿宋_GB2312" w:hAnsi="Times New Roman" w:eastAsia="仿宋_GB2312"/>
          <w:sz w:val="32"/>
          <w:szCs w:val="32"/>
        </w:rPr>
        <w:t>）中的</w:t>
      </w:r>
      <w:r>
        <w:rPr>
          <w:rFonts w:ascii="Times New Roman" w:hAnsi="Times New Roman" w:eastAsia="仿宋_GB2312"/>
          <w:sz w:val="32"/>
          <w:szCs w:val="32"/>
        </w:rPr>
        <w:t>4</w:t>
      </w:r>
      <w:r>
        <w:rPr>
          <w:rFonts w:ascii="仿宋_GB2312" w:hAnsi="Times New Roman" w:eastAsia="仿宋_GB2312"/>
          <w:sz w:val="32"/>
          <w:szCs w:val="32"/>
        </w:rPr>
        <w:t>类标准；其余厂界噪声执行《工业企业厂界环境噪声排放标准》（</w:t>
      </w:r>
      <w:r>
        <w:rPr>
          <w:rFonts w:ascii="Times New Roman" w:hAnsi="Times New Roman" w:eastAsia="仿宋_GB2312"/>
          <w:sz w:val="32"/>
          <w:szCs w:val="32"/>
        </w:rPr>
        <w:t>GB12348-2008</w:t>
      </w:r>
      <w:r>
        <w:rPr>
          <w:rFonts w:ascii="仿宋_GB2312" w:hAnsi="Times New Roman" w:eastAsia="仿宋_GB2312"/>
          <w:sz w:val="32"/>
          <w:szCs w:val="32"/>
        </w:rPr>
        <w:t>）中的</w:t>
      </w:r>
      <w:r>
        <w:rPr>
          <w:rFonts w:ascii="Times New Roman" w:hAnsi="Times New Roman" w:eastAsia="仿宋_GB2312"/>
          <w:sz w:val="32"/>
          <w:szCs w:val="32"/>
        </w:rPr>
        <w:t>2</w:t>
      </w:r>
      <w:r>
        <w:rPr>
          <w:rFonts w:ascii="仿宋_GB2312" w:hAnsi="Times New Roman" w:eastAsia="仿宋_GB2312"/>
          <w:sz w:val="32"/>
          <w:szCs w:val="32"/>
        </w:rPr>
        <w:t>类标准。</w:t>
      </w:r>
    </w:p>
    <w:p>
      <w:pPr>
        <w:autoSpaceDE w:val="0"/>
        <w:adjustRightInd w:val="0"/>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shd w:val="clear" w:color="auto" w:fill="FFFFFF"/>
        </w:rPr>
        <w:t>施工过程中合理安排施工时间、文明施工。施工噪声执行</w:t>
      </w:r>
      <w:r>
        <w:rPr>
          <w:rFonts w:ascii="仿宋_GB2312" w:hAnsi="Times New Roman" w:eastAsia="仿宋_GB2312"/>
          <w:spacing w:val="-10"/>
          <w:sz w:val="32"/>
          <w:szCs w:val="32"/>
          <w:shd w:val="clear" w:color="auto" w:fill="FFFFFF"/>
        </w:rPr>
        <w:t>《建筑施工场界环境噪声排放标准》（</w:t>
      </w:r>
      <w:r>
        <w:rPr>
          <w:rFonts w:ascii="Times New Roman" w:hAnsi="Times New Roman" w:eastAsia="仿宋_GB2312"/>
          <w:sz w:val="32"/>
          <w:szCs w:val="32"/>
        </w:rPr>
        <w:t>GB12523-2025</w:t>
      </w:r>
      <w:r>
        <w:rPr>
          <w:rFonts w:ascii="仿宋_GB2312" w:hAnsi="Times New Roman" w:eastAsia="仿宋_GB2312"/>
          <w:spacing w:val="-10"/>
          <w:sz w:val="32"/>
          <w:szCs w:val="32"/>
          <w:shd w:val="clear" w:color="auto" w:fill="FFFFFF"/>
        </w:rPr>
        <w:t>）限值要求。</w:t>
      </w:r>
    </w:p>
    <w:p>
      <w:pPr>
        <w:autoSpaceDE w:val="0"/>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（四）</w:t>
      </w:r>
      <w:r>
        <w:rPr>
          <w:rFonts w:ascii="仿宋_GB2312" w:hAnsi="Times New Roman" w:eastAsia="仿宋_GB2312"/>
          <w:sz w:val="32"/>
          <w:szCs w:val="32"/>
        </w:rPr>
        <w:t>严格落实固体废物污染防治措施。按照</w:t>
      </w:r>
      <w:r>
        <w:rPr>
          <w:rFonts w:ascii="Times New Roman" w:hAnsi="Times New Roman" w:eastAsia="仿宋_GB2312"/>
          <w:sz w:val="32"/>
          <w:szCs w:val="32"/>
        </w:rPr>
        <w:t>“</w:t>
      </w:r>
      <w:r>
        <w:rPr>
          <w:rFonts w:ascii="仿宋_GB2312" w:hAnsi="Times New Roman" w:eastAsia="仿宋_GB2312"/>
          <w:sz w:val="32"/>
          <w:szCs w:val="32"/>
        </w:rPr>
        <w:t>减量化、资源化、无害化</w:t>
      </w:r>
      <w:r>
        <w:rPr>
          <w:rFonts w:ascii="Times New Roman" w:hAnsi="Times New Roman" w:eastAsia="仿宋_GB2312"/>
          <w:sz w:val="32"/>
          <w:szCs w:val="32"/>
        </w:rPr>
        <w:t>”</w:t>
      </w:r>
      <w:r>
        <w:rPr>
          <w:rFonts w:ascii="仿宋_GB2312" w:hAnsi="Times New Roman" w:eastAsia="仿宋_GB2312"/>
          <w:sz w:val="32"/>
          <w:szCs w:val="32"/>
        </w:rPr>
        <w:t>原则，对固体废物进行分类规范收集，确保不造成二次污染。</w:t>
      </w:r>
    </w:p>
    <w:p>
      <w:pPr>
        <w:autoSpaceDE w:val="0"/>
        <w:spacing w:line="560"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项目运营期产生的废包装材料等一般固废可回收利用的回收利用，不可回收利用的委托有能力的单位进行处置；生活垃圾委托环卫部门定期清运处置；废包装桶、漆渣、废清洗液、废活性炭、废过滤棉、废机油及废机油桶等危险废物按照《危险废物贮存污染控制标准》（</w:t>
      </w:r>
      <w:r>
        <w:rPr>
          <w:rFonts w:ascii="Times New Roman" w:hAnsi="Times New Roman" w:eastAsia="仿宋_GB2312"/>
          <w:color w:val="000000"/>
          <w:sz w:val="32"/>
          <w:szCs w:val="32"/>
        </w:rPr>
        <w:t>GB18597-2023</w:t>
      </w:r>
      <w:r>
        <w:rPr>
          <w:rFonts w:ascii="仿宋_GB2312" w:hAnsi="Times New Roman" w:eastAsia="仿宋_GB2312"/>
          <w:color w:val="000000"/>
          <w:sz w:val="32"/>
          <w:szCs w:val="32"/>
        </w:rPr>
        <w:t>）和《危险废物收集贮存运输技术规范》（</w:t>
      </w:r>
      <w:r>
        <w:rPr>
          <w:rFonts w:ascii="Times New Roman" w:hAnsi="Times New Roman" w:eastAsia="仿宋_GB2312"/>
          <w:color w:val="000000"/>
          <w:sz w:val="32"/>
          <w:szCs w:val="32"/>
        </w:rPr>
        <w:t>HJ2025-2012</w:t>
      </w:r>
      <w:r>
        <w:rPr>
          <w:rFonts w:ascii="仿宋_GB2312" w:hAnsi="Times New Roman" w:eastAsia="仿宋_GB2312"/>
          <w:color w:val="000000"/>
          <w:sz w:val="32"/>
          <w:szCs w:val="32"/>
        </w:rPr>
        <w:t>）的规定进行收集、贮存和管理，并委托有资质的单位定期清运、妥善处置。</w:t>
      </w:r>
    </w:p>
    <w:p>
      <w:pPr>
        <w:autoSpaceDE w:val="0"/>
        <w:spacing w:line="560"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项目施工过程产生的建筑垃圾可再生利用部分回收利用，不能利用的委托有资质单位清运至合法的建筑垃圾堆放场处置；生活垃圾收集后，委托环卫部门清运。</w:t>
      </w:r>
    </w:p>
    <w:p>
      <w:pPr>
        <w:autoSpaceDE w:val="0"/>
        <w:spacing w:line="560" w:lineRule="exact"/>
        <w:ind w:firstLine="640" w:firstLineChars="200"/>
        <w:rPr>
          <w:rFonts w:ascii="Times New Roman" w:hAnsi="Times New Roman" w:eastAsia="仿宋_GB2312"/>
          <w:color w:val="000000"/>
          <w:sz w:val="32"/>
          <w:szCs w:val="32"/>
        </w:rPr>
      </w:pPr>
      <w:r>
        <w:rPr>
          <w:rFonts w:ascii="仿宋_GB2312" w:hAnsi="Times New Roman" w:eastAsia="仿宋_GB2312"/>
          <w:color w:val="000000"/>
          <w:sz w:val="32"/>
          <w:szCs w:val="32"/>
        </w:rPr>
        <w:t>（五）做好环境风险应急管理工作。严格执行《报告表》风险影响评价中的各项防范措施，落实安全生产责任制，制定突发环境事件应急预案并报市生态环境局经开分局备案。开展必要的应急培训、宣传和演练。</w:t>
      </w:r>
    </w:p>
    <w:p>
      <w:pPr>
        <w:suppressAutoHyphens/>
        <w:autoSpaceDE w:val="0"/>
        <w:spacing w:line="560" w:lineRule="exact"/>
        <w:ind w:firstLine="640" w:firstLineChars="200"/>
        <w:rPr>
          <w:rFonts w:ascii="Times New Roman" w:hAnsi="Times New Roman" w:eastAsia="仿宋_GB2312"/>
          <w:kern w:val="0"/>
          <w:sz w:val="32"/>
          <w:szCs w:val="32"/>
          <w:shd w:val="clear" w:color="auto" w:fill="FFFFFF"/>
        </w:rPr>
      </w:pPr>
      <w:r>
        <w:rPr>
          <w:rFonts w:ascii="仿宋_GB2312" w:hAnsi="Times New Roman" w:eastAsia="仿宋_GB2312"/>
          <w:kern w:val="0"/>
          <w:sz w:val="32"/>
          <w:szCs w:val="32"/>
          <w:shd w:val="clear" w:color="auto" w:fill="FFFFFF"/>
        </w:rPr>
        <w:t>（六）污染物总量控制指标：颗粒物</w:t>
      </w:r>
      <w:r>
        <w:rPr>
          <w:rFonts w:ascii="Times New Roman" w:hAnsi="Times New Roman" w:eastAsia="仿宋_GB2312"/>
          <w:kern w:val="0"/>
          <w:sz w:val="32"/>
          <w:szCs w:val="32"/>
          <w:shd w:val="clear" w:color="auto" w:fill="FFFFFF"/>
        </w:rPr>
        <w:t>0.04t/a</w:t>
      </w:r>
      <w:r>
        <w:rPr>
          <w:rFonts w:ascii="仿宋_GB2312" w:hAnsi="Times New Roman" w:eastAsia="仿宋_GB2312"/>
          <w:kern w:val="0"/>
          <w:sz w:val="32"/>
          <w:szCs w:val="32"/>
          <w:shd w:val="clear" w:color="auto" w:fill="FFFFFF"/>
        </w:rPr>
        <w:t>；</w:t>
      </w:r>
      <w:r>
        <w:rPr>
          <w:rFonts w:ascii="Times New Roman" w:hAnsi="Times New Roman" w:eastAsia="仿宋_GB2312"/>
          <w:kern w:val="0"/>
          <w:sz w:val="32"/>
          <w:szCs w:val="32"/>
          <w:shd w:val="clear" w:color="auto" w:fill="FFFFFF"/>
        </w:rPr>
        <w:t>VOCs</w:t>
      </w:r>
      <w:r>
        <w:rPr>
          <w:rFonts w:ascii="仿宋_GB2312" w:hAnsi="Times New Roman" w:eastAsia="仿宋_GB2312"/>
          <w:kern w:val="0"/>
          <w:sz w:val="32"/>
          <w:szCs w:val="32"/>
          <w:shd w:val="clear" w:color="auto" w:fill="FFFFFF"/>
        </w:rPr>
        <w:t>（以非甲烷总烃计）</w:t>
      </w:r>
      <w:r>
        <w:rPr>
          <w:rFonts w:ascii="Times New Roman" w:hAnsi="Times New Roman" w:eastAsia="仿宋_GB2312"/>
          <w:kern w:val="0"/>
          <w:sz w:val="32"/>
          <w:szCs w:val="32"/>
          <w:shd w:val="clear" w:color="auto" w:fill="FFFFFF"/>
        </w:rPr>
        <w:t>0.045t/a</w:t>
      </w:r>
      <w:r>
        <w:rPr>
          <w:rFonts w:ascii="仿宋_GB2312" w:hAnsi="Times New Roman" w:eastAsia="仿宋_GB2312"/>
          <w:kern w:val="0"/>
          <w:sz w:val="32"/>
          <w:szCs w:val="32"/>
          <w:shd w:val="clear" w:color="auto" w:fill="FFFFFF"/>
        </w:rPr>
        <w:t>；甲苯</w:t>
      </w:r>
      <w:r>
        <w:rPr>
          <w:rFonts w:ascii="Times New Roman" w:hAnsi="Times New Roman" w:eastAsia="仿宋_GB2312"/>
          <w:kern w:val="0"/>
          <w:sz w:val="32"/>
          <w:szCs w:val="32"/>
          <w:shd w:val="clear" w:color="auto" w:fill="FFFFFF"/>
        </w:rPr>
        <w:t>0.0012t/a</w:t>
      </w:r>
      <w:r>
        <w:rPr>
          <w:rFonts w:ascii="仿宋_GB2312" w:hAnsi="Times New Roman" w:eastAsia="仿宋_GB2312"/>
          <w:kern w:val="0"/>
          <w:sz w:val="32"/>
          <w:szCs w:val="32"/>
          <w:shd w:val="clear" w:color="auto" w:fill="FFFFFF"/>
        </w:rPr>
        <w:t>；二甲苯</w:t>
      </w:r>
      <w:r>
        <w:rPr>
          <w:rFonts w:ascii="Times New Roman" w:hAnsi="Times New Roman" w:eastAsia="仿宋_GB2312"/>
          <w:kern w:val="0"/>
          <w:sz w:val="32"/>
          <w:szCs w:val="32"/>
          <w:shd w:val="clear" w:color="auto" w:fill="FFFFFF"/>
        </w:rPr>
        <w:t>0.016t/a</w:t>
      </w:r>
      <w:r>
        <w:rPr>
          <w:rFonts w:ascii="仿宋_GB2312" w:hAnsi="Times New Roman" w:eastAsia="仿宋_GB2312"/>
          <w:kern w:val="0"/>
          <w:sz w:val="32"/>
          <w:szCs w:val="32"/>
          <w:shd w:val="clear" w:color="auto" w:fill="FFFFFF"/>
        </w:rPr>
        <w:t>。</w:t>
      </w:r>
    </w:p>
    <w:p>
      <w:pPr>
        <w:suppressAutoHyphens/>
        <w:autoSpaceDE w:val="0"/>
        <w:spacing w:line="560" w:lineRule="exact"/>
        <w:ind w:firstLine="640" w:firstLineChars="200"/>
        <w:rPr>
          <w:rFonts w:ascii="Times New Roman" w:hAnsi="Times New Roman" w:eastAsia="仿宋_GB2312"/>
          <w:color w:val="000000"/>
          <w:kern w:val="0"/>
          <w:sz w:val="32"/>
          <w:szCs w:val="32"/>
          <w:shd w:val="clear" w:color="auto" w:fill="FFFFFF"/>
        </w:rPr>
      </w:pPr>
      <w:r>
        <w:rPr>
          <w:rFonts w:ascii="仿宋_GB2312" w:hAnsi="Times New Roman" w:eastAsia="仿宋_GB2312"/>
          <w:kern w:val="0"/>
          <w:sz w:val="32"/>
          <w:szCs w:val="32"/>
          <w:shd w:val="clear" w:color="auto" w:fill="FFFFFF"/>
        </w:rPr>
        <w:t>（七）</w:t>
      </w:r>
      <w:r>
        <w:rPr>
          <w:rFonts w:ascii="仿宋_GB2312" w:hAnsi="Times New Roman" w:eastAsia="仿宋_GB2312"/>
          <w:color w:val="000000"/>
          <w:kern w:val="0"/>
          <w:sz w:val="32"/>
          <w:szCs w:val="32"/>
          <w:shd w:val="clear" w:color="auto" w:fill="FFFFFF"/>
        </w:rPr>
        <w:t>按照《排污许可管理条例》相关规定，纳入固定污染源排污许可管理的，需在项目启动生产设施或发生实际排污前，</w:t>
      </w:r>
      <w:r>
        <w:rPr>
          <w:rFonts w:ascii="仿宋_GB2312" w:hAnsi="Times New Roman" w:eastAsia="仿宋_GB2312"/>
          <w:color w:val="000000"/>
          <w:spacing w:val="-6"/>
          <w:kern w:val="0"/>
          <w:sz w:val="32"/>
          <w:szCs w:val="32"/>
          <w:shd w:val="clear" w:color="auto" w:fill="FFFFFF"/>
        </w:rPr>
        <w:t>依法取得排污许可手续，未取得排污许可手续前不得排放污染物。</w:t>
      </w:r>
    </w:p>
    <w:p>
      <w:pPr>
        <w:autoSpaceDE w:val="0"/>
        <w:spacing w:line="560" w:lineRule="exact"/>
        <w:ind w:firstLine="640" w:firstLineChars="200"/>
        <w:rPr>
          <w:rFonts w:ascii="Times New Roman" w:hAnsi="Times New Roman"/>
          <w:spacing w:val="-6"/>
          <w:szCs w:val="21"/>
        </w:rPr>
      </w:pPr>
      <w:r>
        <w:rPr>
          <w:rFonts w:ascii="仿宋_GB2312" w:hAnsi="Times New Roman" w:eastAsia="仿宋_GB2312"/>
          <w:sz w:val="32"/>
          <w:szCs w:val="32"/>
        </w:rPr>
        <w:t>（八）认真组织实施《报告表》提出的环境监测计划，定期</w:t>
      </w:r>
      <w:r>
        <w:rPr>
          <w:rFonts w:ascii="仿宋_GB2312" w:hAnsi="Times New Roman" w:eastAsia="仿宋_GB2312"/>
          <w:spacing w:val="-6"/>
          <w:sz w:val="32"/>
          <w:szCs w:val="32"/>
        </w:rPr>
        <w:t>进行监测，发现异常立即停产，及时查明原因，采取有效控制措施。</w:t>
      </w:r>
    </w:p>
    <w:p>
      <w:pPr>
        <w:suppressAutoHyphens/>
        <w:autoSpaceDE w:val="0"/>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三、设计阶段应开展环境保护设计，落实生态保护和环境污染防治的各项措施及投资，严格执行环境保护设施应与主体工程同时设计、同时施工、同时投入使用的环保</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制度。项目建成调试后，按规定自主开展竣工环保验收，经验收合格后方可正式投入运行。</w:t>
      </w:r>
    </w:p>
    <w:p>
      <w:pPr>
        <w:suppressAutoHyphens/>
        <w:autoSpaceDE w:val="0"/>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四、项目的性质、规模、地点、采用的生产工艺或者防治污染、防止生态破坏的措施发生重大变动的，应当重新报批建设项目的环境影响评价文件。自本批复之日起超过五年，方决</w:t>
      </w:r>
      <w:r>
        <w:rPr>
          <w:rFonts w:ascii="仿宋_GB2312" w:hAnsi="Times New Roman" w:eastAsia="仿宋_GB2312"/>
          <w:spacing w:val="-10"/>
          <w:sz w:val="32"/>
          <w:szCs w:val="32"/>
        </w:rPr>
        <w:t>定该项目开工建设的，环境影响评价文件应当报我局重新审核。</w:t>
      </w:r>
    </w:p>
    <w:p>
      <w:pPr>
        <w:suppressAutoHyphens/>
        <w:autoSpaceDE w:val="0"/>
        <w:spacing w:line="56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五、你</w:t>
      </w:r>
      <w:r>
        <w:rPr>
          <w:rFonts w:ascii="仿宋_GB2312" w:hAnsi="Times New Roman" w:eastAsia="仿宋_GB2312"/>
          <w:spacing w:val="-10"/>
          <w:sz w:val="32"/>
          <w:szCs w:val="32"/>
        </w:rPr>
        <w:t>公司应按规定接受各级生态环境主管部门的监督检查。</w:t>
      </w:r>
    </w:p>
    <w:p>
      <w:pPr>
        <w:suppressAutoHyphens/>
        <w:autoSpaceDE w:val="0"/>
        <w:spacing w:line="560" w:lineRule="exact"/>
        <w:ind w:firstLine="640" w:firstLineChars="200"/>
        <w:rPr>
          <w:rFonts w:ascii="Times New Roman" w:hAnsi="Times New Roman" w:eastAsia="仿宋_GB2312"/>
          <w:spacing w:val="-20"/>
          <w:sz w:val="32"/>
          <w:szCs w:val="32"/>
        </w:rPr>
      </w:pPr>
      <w:r>
        <w:rPr>
          <w:rFonts w:ascii="仿宋_GB2312" w:hAnsi="Times New Roman" w:eastAsia="仿宋_GB2312"/>
          <w:sz w:val="32"/>
          <w:szCs w:val="32"/>
        </w:rPr>
        <w:t>请市生态环境局经开分局负责组织项目环境现场执法和</w:t>
      </w:r>
      <w:r>
        <w:rPr>
          <w:rFonts w:ascii="仿宋_GB2312" w:hAnsi="Times New Roman" w:eastAsia="仿宋_GB2312"/>
          <w:spacing w:val="-20"/>
          <w:sz w:val="32"/>
          <w:szCs w:val="32"/>
        </w:rPr>
        <w:t>日常监督管理，请市生态环境保护综合行政执法支队加强监督检查。</w:t>
      </w:r>
    </w:p>
    <w:p>
      <w:pPr>
        <w:suppressAutoHyphens/>
        <w:autoSpaceDE w:val="0"/>
        <w:adjustRightInd w:val="0"/>
        <w:spacing w:line="560" w:lineRule="exact"/>
        <w:ind w:firstLine="640" w:firstLineChars="200"/>
        <w:rPr>
          <w:rFonts w:ascii="Times New Roman" w:hAnsi="Times New Roman" w:eastAsia="仿宋_GB2312"/>
          <w:color w:val="000000"/>
          <w:sz w:val="32"/>
          <w:szCs w:val="32"/>
        </w:rPr>
      </w:pPr>
      <w:r>
        <w:rPr>
          <w:rFonts w:ascii="仿宋_GB2312" w:hAnsi="Times New Roman" w:eastAsia="仿宋_GB2312"/>
          <w:sz w:val="32"/>
          <w:szCs w:val="32"/>
        </w:rPr>
        <w:t>六、依法到其他部门办理相关手续。</w:t>
      </w:r>
      <w:r>
        <w:rPr>
          <w:rFonts w:ascii="Times New Roman" w:hAnsi="Times New Roman" w:eastAsia="仿宋_GB2312"/>
          <w:kern w:val="0"/>
          <w:sz w:val="32"/>
          <w:szCs w:val="32"/>
        </w:rPr>
        <w:t xml:space="preserve"> </w:t>
      </w:r>
    </w:p>
    <w:p>
      <w:pPr>
        <w:tabs>
          <w:tab w:val="right" w:pos="8618"/>
        </w:tabs>
        <w:autoSpaceDE w:val="0"/>
        <w:snapToGrid w:val="0"/>
        <w:spacing w:line="560" w:lineRule="exact"/>
        <w:ind w:firstLine="656" w:firstLineChars="200"/>
        <w:jc w:val="left"/>
        <w:rPr>
          <w:rFonts w:ascii="Times New Roman" w:hAnsi="Times New Roman" w:eastAsia="仿宋_GB2312"/>
          <w:color w:val="000000"/>
          <w:spacing w:val="4"/>
          <w:kern w:val="24"/>
          <w:sz w:val="32"/>
          <w:szCs w:val="32"/>
        </w:rPr>
      </w:pPr>
      <w:r>
        <w:rPr>
          <w:rFonts w:ascii="Times New Roman" w:hAnsi="Times New Roman" w:eastAsia="仿宋_GB2312"/>
          <w:color w:val="000000"/>
          <w:spacing w:val="4"/>
          <w:kern w:val="24"/>
          <w:sz w:val="32"/>
          <w:szCs w:val="32"/>
        </w:rPr>
        <w:t xml:space="preserve"> </w:t>
      </w:r>
      <w:r>
        <w:rPr>
          <w:rFonts w:ascii="Times New Roman" w:hAnsi="Times New Roman" w:eastAsia="仿宋_GB2312"/>
          <w:color w:val="000000"/>
          <w:spacing w:val="4"/>
          <w:kern w:val="24"/>
          <w:sz w:val="32"/>
          <w:szCs w:val="32"/>
        </w:rPr>
        <w:tab/>
      </w:r>
    </w:p>
    <w:p>
      <w:pPr>
        <w:autoSpaceDE w:val="0"/>
        <w:snapToGrid w:val="0"/>
        <w:spacing w:line="560" w:lineRule="exact"/>
        <w:ind w:firstLine="656" w:firstLineChars="200"/>
        <w:jc w:val="left"/>
        <w:rPr>
          <w:rFonts w:ascii="Times New Roman" w:hAnsi="Times New Roman" w:eastAsia="仿宋_GB2312"/>
          <w:color w:val="000000"/>
          <w:spacing w:val="4"/>
          <w:kern w:val="24"/>
          <w:sz w:val="32"/>
          <w:szCs w:val="32"/>
        </w:rPr>
      </w:pPr>
      <w:r>
        <w:rPr>
          <w:rFonts w:ascii="Times New Roman" w:hAnsi="Times New Roman" w:eastAsia="仿宋_GB2312"/>
          <w:color w:val="000000"/>
          <w:spacing w:val="4"/>
          <w:kern w:val="24"/>
          <w:sz w:val="32"/>
          <w:szCs w:val="32"/>
        </w:rPr>
        <w:t xml:space="preserve"> </w:t>
      </w:r>
    </w:p>
    <w:p>
      <w:pPr>
        <w:autoSpaceDE w:val="0"/>
        <w:snapToGrid w:val="0"/>
        <w:spacing w:line="560" w:lineRule="exact"/>
        <w:jc w:val="left"/>
        <w:rPr>
          <w:rFonts w:ascii="Times New Roman" w:hAnsi="Times New Roman" w:eastAsia="仿宋_GB2312"/>
          <w:sz w:val="32"/>
          <w:szCs w:val="32"/>
        </w:rPr>
      </w:pPr>
      <w:r>
        <w:rPr>
          <w:rFonts w:ascii="Times New Roman" w:hAnsi="Times New Roman" w:eastAsia="仿宋_GB2312"/>
          <w:color w:val="000000"/>
          <w:spacing w:val="4"/>
          <w:kern w:val="24"/>
          <w:sz w:val="32"/>
          <w:szCs w:val="32"/>
        </w:rPr>
        <w:t xml:space="preserve"> </w:t>
      </w:r>
    </w:p>
    <w:p>
      <w:pPr>
        <w:spacing w:line="560" w:lineRule="exact"/>
        <w:ind w:left="630"/>
        <w:rPr>
          <w:rFonts w:ascii="Times New Roman" w:hAnsi="Times New Roman" w:eastAsia="仿宋_GB2312"/>
          <w:sz w:val="32"/>
          <w:szCs w:val="32"/>
        </w:rPr>
      </w:pPr>
    </w:p>
    <w:p>
      <w:pPr>
        <w:suppressAutoHyphens/>
        <w:adjustRightInd w:val="0"/>
        <w:spacing w:line="560" w:lineRule="exact"/>
        <w:ind w:firstLine="640" w:firstLineChars="200"/>
        <w:jc w:val="center"/>
        <w:rPr>
          <w:rFonts w:ascii="Times New Roman" w:hAnsi="Times New Roman"/>
          <w:szCs w:val="21"/>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2026年</w:t>
      </w:r>
      <w:r>
        <w:rPr>
          <w:rFonts w:hint="eastAsia" w:ascii="Times New Roman" w:hAnsi="Times New Roman" w:eastAsia="仿宋_GB2312"/>
          <w:sz w:val="32"/>
          <w:szCs w:val="32"/>
        </w:rPr>
        <w:t>2</w:t>
      </w:r>
      <w:r>
        <w:rPr>
          <w:rFonts w:ascii="Times New Roman" w:hAnsi="Times New Roman" w:eastAsia="仿宋_GB2312"/>
          <w:sz w:val="32"/>
          <w:szCs w:val="32"/>
        </w:rPr>
        <w:t>月</w:t>
      </w:r>
      <w:r>
        <w:rPr>
          <w:rFonts w:hint="eastAsia" w:ascii="Times New Roman" w:hAnsi="Times New Roman" w:eastAsia="仿宋_GB2312"/>
          <w:sz w:val="32"/>
          <w:szCs w:val="32"/>
        </w:rPr>
        <w:t>3</w:t>
      </w:r>
      <w:r>
        <w:rPr>
          <w:rFonts w:ascii="Times New Roman" w:hAnsi="Times New Roman" w:eastAsia="仿宋_GB2312"/>
          <w:sz w:val="32"/>
          <w:szCs w:val="32"/>
        </w:rPr>
        <w:t>日</w:t>
      </w:r>
    </w:p>
    <w:p>
      <w:pPr>
        <w:autoSpaceDE w:val="0"/>
        <w:autoSpaceDN w:val="0"/>
        <w:adjustRightInd w:val="0"/>
        <w:spacing w:line="560" w:lineRule="exact"/>
        <w:rPr>
          <w:rFonts w:ascii="Times New Roman" w:hAnsi="Times New Roman"/>
          <w:color w:val="000000"/>
          <w:sz w:val="24"/>
          <w:szCs w:val="24"/>
        </w:rPr>
      </w:pPr>
    </w:p>
    <w:p>
      <w:pPr>
        <w:suppressAutoHyphens/>
        <w:autoSpaceDE w:val="0"/>
        <w:autoSpaceDN w:val="0"/>
        <w:adjustRightInd w:val="0"/>
        <w:snapToGrid w:val="0"/>
        <w:spacing w:line="520" w:lineRule="exact"/>
        <w:rPr>
          <w:rFonts w:ascii="Times New Roman" w:hAnsi="Times New Roman" w:eastAsia="仿宋_GB2312"/>
          <w:sz w:val="28"/>
          <w:szCs w:val="28"/>
        </w:rPr>
      </w:pPr>
    </w:p>
    <w:p>
      <w:pPr>
        <w:suppressAutoHyphens/>
        <w:autoSpaceDE w:val="0"/>
        <w:autoSpaceDN w:val="0"/>
        <w:adjustRightInd w:val="0"/>
        <w:snapToGrid w:val="0"/>
        <w:spacing w:line="520" w:lineRule="exact"/>
        <w:rPr>
          <w:rFonts w:ascii="Times New Roman" w:hAnsi="Times New Roman" w:eastAsia="仿宋_GB2312"/>
          <w:sz w:val="28"/>
          <w:szCs w:val="28"/>
        </w:rPr>
      </w:pPr>
      <w:r>
        <w:rPr>
          <w:rFonts w:ascii="Times New Roman" w:hAnsi="Times New Roman"/>
          <w:kern w:val="0"/>
          <w:sz w:val="24"/>
          <w:szCs w:val="24"/>
          <w:lang/>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ascii="Times New Roman" w:hAnsi="Times New Roman" w:eastAsia="仿宋_GB2312"/>
          <w:sz w:val="28"/>
          <w:szCs w:val="28"/>
        </w:rPr>
      </w:pPr>
      <w:r>
        <w:rPr>
          <w:rFonts w:ascii="Times New Roman" w:hAnsi="Times New Roman" w:eastAsia="仿宋_GB2312"/>
          <w:sz w:val="28"/>
          <w:szCs w:val="28"/>
        </w:rPr>
        <w:t>抄送：</w:t>
      </w:r>
      <w:r>
        <w:rPr>
          <w:rFonts w:ascii="仿宋_GB2312" w:hAnsi="Times New Roman" w:eastAsia="仿宋_GB2312"/>
          <w:sz w:val="28"/>
          <w:szCs w:val="28"/>
        </w:rPr>
        <w:t>云南省生态环境厅。市生态环境局经开分局，市局机关各处室、各直属单位。云南远洁环保咨询有限公司</w:t>
      </w:r>
      <w:r>
        <w:rPr>
          <w:rFonts w:ascii="Times New Roman" w:hAnsi="Times New Roman" w:eastAsia="仿宋_GB2312"/>
          <w:sz w:val="28"/>
          <w:szCs w:val="28"/>
        </w:rPr>
        <w:t>。</w:t>
      </w:r>
    </w:p>
    <w:p>
      <w:pPr>
        <w:suppressAutoHyphens/>
        <w:autoSpaceDE w:val="0"/>
        <w:autoSpaceDN w:val="0"/>
        <w:adjustRightInd w:val="0"/>
        <w:snapToGrid w:val="0"/>
        <w:spacing w:line="520" w:lineRule="exact"/>
        <w:ind w:left="1018" w:leftChars="142" w:hanging="720" w:hangingChars="300"/>
      </w:pPr>
      <w:r>
        <w:rPr>
          <w:rFonts w:ascii="Times New Roman" w:hAnsi="Times New Roman"/>
          <w:kern w:val="0"/>
          <w:sz w:val="24"/>
          <w:szCs w:val="24"/>
          <w:lang/>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Times New Roman" w:hAnsi="Times New Roman"/>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lang/>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昆明市生态环境局                         2026年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3</w:t>
      </w:r>
      <w:r>
        <w:rPr>
          <w:rFonts w:ascii="Times New Roman" w:hAnsi="Times New Roman" w:eastAsia="仿宋_GB2312"/>
          <w:sz w:val="28"/>
          <w:szCs w:val="28"/>
        </w:rPr>
        <w:t xml:space="preserve">日印发  </w:t>
      </w:r>
      <w:bookmarkStart w:id="0" w:name="_GoBack"/>
      <w:bookmarkEnd w:id="0"/>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lang/>
      </w:rPr>
      <w:t>- 6 -</w:t>
    </w:r>
    <w:r>
      <w:rPr>
        <w:rStyle w:val="11"/>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056D"/>
    <w:rsid w:val="000314BC"/>
    <w:rsid w:val="000316B3"/>
    <w:rsid w:val="00031CA8"/>
    <w:rsid w:val="0003444E"/>
    <w:rsid w:val="00037009"/>
    <w:rsid w:val="000378E0"/>
    <w:rsid w:val="0004027F"/>
    <w:rsid w:val="00040963"/>
    <w:rsid w:val="00041302"/>
    <w:rsid w:val="00041903"/>
    <w:rsid w:val="00043538"/>
    <w:rsid w:val="000471A2"/>
    <w:rsid w:val="0004788D"/>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58A"/>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2607"/>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47CF1"/>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4A29"/>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4D35"/>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4647"/>
    <w:rsid w:val="00336687"/>
    <w:rsid w:val="00337437"/>
    <w:rsid w:val="00337455"/>
    <w:rsid w:val="00337465"/>
    <w:rsid w:val="003400C0"/>
    <w:rsid w:val="003407D9"/>
    <w:rsid w:val="00343371"/>
    <w:rsid w:val="00344620"/>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5FB9"/>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491"/>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6D3E"/>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3C5F"/>
    <w:rsid w:val="007652FA"/>
    <w:rsid w:val="0076565E"/>
    <w:rsid w:val="00767002"/>
    <w:rsid w:val="00767BCC"/>
    <w:rsid w:val="00770011"/>
    <w:rsid w:val="00770DED"/>
    <w:rsid w:val="007711FA"/>
    <w:rsid w:val="00773183"/>
    <w:rsid w:val="00774C4C"/>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0AAC"/>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1C59"/>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1007"/>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21CD"/>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40A0"/>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AF8"/>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BC2"/>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87B"/>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35C"/>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54C4"/>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BD2"/>
    <w:rsid w:val="00B11C93"/>
    <w:rsid w:val="00B1218E"/>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09A9"/>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5BB"/>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87B27"/>
    <w:rsid w:val="00E903C8"/>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1E8F"/>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4EA"/>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1DAA"/>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CE7A10"/>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82AE0"/>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274D1"/>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szCs w:val="21"/>
    </w:rPr>
  </w:style>
  <w:style w:type="paragraph" w:styleId="3">
    <w:name w:val="Plain Text"/>
    <w:basedOn w:val="1"/>
    <w:link w:val="12"/>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uiPriority w:val="0"/>
    <w:pPr>
      <w:spacing w:after="120" w:line="480" w:lineRule="auto"/>
      <w:ind w:left="420" w:leftChars="200"/>
    </w:pPr>
    <w:rPr>
      <w:rFonts w:ascii="Times New Roman" w:hAnsi="Times New Roman"/>
      <w:szCs w:val="21"/>
    </w:rPr>
  </w:style>
  <w:style w:type="paragraph" w:styleId="6">
    <w:name w:val="footer"/>
    <w:basedOn w:val="1"/>
    <w:link w:val="15"/>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rFonts w:ascii="Calibri" w:hAnsi="Calibri" w:eastAsia="宋体" w:cs="Times New Roman"/>
    </w:rPr>
  </w:style>
  <w:style w:type="character" w:customStyle="1" w:styleId="12">
    <w:name w:val="纯文本 Char1"/>
    <w:basedOn w:val="10"/>
    <w:link w:val="3"/>
    <w:semiHidden/>
    <w:uiPriority w:val="99"/>
    <w:rPr>
      <w:rFonts w:ascii="宋体" w:hAnsi="Courier New" w:eastAsia="宋体" w:cs="Times New Roman"/>
      <w:szCs w:val="20"/>
    </w:rPr>
  </w:style>
  <w:style w:type="character" w:customStyle="1" w:styleId="13">
    <w:name w:val="日期 Char"/>
    <w:basedOn w:val="10"/>
    <w:link w:val="4"/>
    <w:semiHidden/>
    <w:uiPriority w:val="99"/>
    <w:rPr>
      <w:rFonts w:ascii="Calibri" w:hAnsi="Calibri" w:eastAsia="宋体" w:cs="Times New Roman"/>
    </w:rPr>
  </w:style>
  <w:style w:type="character" w:customStyle="1" w:styleId="14">
    <w:name w:val="正文文本缩进 2 Char"/>
    <w:basedOn w:val="10"/>
    <w:link w:val="5"/>
    <w:uiPriority w:val="0"/>
    <w:rPr>
      <w:rFonts w:ascii="Times New Roman" w:hAnsi="Times New Roman" w:eastAsia="宋体" w:cs="Times New Roman"/>
      <w:szCs w:val="21"/>
    </w:rPr>
  </w:style>
  <w:style w:type="character" w:customStyle="1" w:styleId="15">
    <w:name w:val="页脚 Char"/>
    <w:basedOn w:val="10"/>
    <w:link w:val="6"/>
    <w:uiPriority w:val="0"/>
    <w:rPr>
      <w:rFonts w:ascii="Times New Roman" w:hAnsi="Times New Roman" w:eastAsia="宋体" w:cs="Times New Roman"/>
      <w:sz w:val="18"/>
      <w:szCs w:val="18"/>
    </w:rPr>
  </w:style>
  <w:style w:type="character" w:customStyle="1" w:styleId="16">
    <w:name w:val="页眉 Char"/>
    <w:basedOn w:val="10"/>
    <w:link w:val="7"/>
    <w:semiHidden/>
    <w:uiPriority w:val="99"/>
    <w:rPr>
      <w:rFonts w:ascii="Calibri" w:hAnsi="Calibri" w:eastAsia="宋体" w:cs="Times New Roman"/>
      <w:sz w:val="18"/>
      <w:szCs w:val="18"/>
    </w:rPr>
  </w:style>
  <w:style w:type="character" w:customStyle="1" w:styleId="17">
    <w:name w:val="纯文本 Char"/>
    <w:uiPriority w:val="0"/>
    <w:rPr>
      <w:rFonts w:ascii="宋体" w:hAnsi="Courier New" w:eastAsia="宋体" w:cs="Times New Roman"/>
      <w:kern w:val="2"/>
      <w:sz w:val="21"/>
    </w:rPr>
  </w:style>
  <w:style w:type="paragraph" w:customStyle="1" w:styleId="18">
    <w:name w:val="文本正文"/>
    <w:basedOn w:val="1"/>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2026-02-03T07:34:00Z</dcterms:created>
  <dc:creator>李敏</dc:creator>
  <cp:lastModifiedBy>李敏</cp:lastModifiedBy>
  <dcterms:modified xsi:type="dcterms:W3CDTF">2026-02-03T07:35:47Z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