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B6AC5">
      <w:pPr>
        <w:tabs>
          <w:tab w:val="left" w:pos="4410"/>
        </w:tabs>
        <w:rPr>
          <w:rFonts w:ascii="Times New Roman" w:hAnsi="Times New Roman" w:eastAsia="方正小标宋简体"/>
          <w:color w:val="FF0000"/>
          <w:sz w:val="32"/>
          <w:szCs w:val="32"/>
        </w:rPr>
      </w:pPr>
    </w:p>
    <w:p w14:paraId="0820386A">
      <w:pPr>
        <w:tabs>
          <w:tab w:val="left" w:pos="4410"/>
        </w:tabs>
        <w:rPr>
          <w:rFonts w:ascii="Times New Roman" w:hAnsi="Times New Roman" w:eastAsia="方正小标宋简体"/>
          <w:color w:val="FF0000"/>
          <w:sz w:val="32"/>
          <w:szCs w:val="32"/>
        </w:rPr>
      </w:pPr>
    </w:p>
    <w:p w14:paraId="35308C0A">
      <w:pPr>
        <w:tabs>
          <w:tab w:val="left" w:pos="4410"/>
        </w:tabs>
        <w:rPr>
          <w:rFonts w:ascii="Times New Roman" w:hAnsi="Times New Roman" w:eastAsia="方正小标宋简体"/>
          <w:color w:val="FF0000"/>
          <w:sz w:val="84"/>
          <w:szCs w:val="84"/>
        </w:rPr>
      </w:pPr>
    </w:p>
    <w:p w14:paraId="3AEBD9BF">
      <w:pPr>
        <w:rPr>
          <w:rFonts w:ascii="Times New Roman" w:hAnsi="Times New Roman" w:eastAsia="仿宋_GB2312"/>
          <w:color w:val="000000"/>
          <w:sz w:val="52"/>
          <w:szCs w:val="52"/>
        </w:rPr>
      </w:pPr>
    </w:p>
    <w:p w14:paraId="5C464388">
      <w:pPr>
        <w:jc w:val="center"/>
        <w:rPr>
          <w:rFonts w:ascii="Times New Roman" w:hAnsi="Times New Roman" w:eastAsia="楷体_GB2312"/>
          <w:color w:val="000000"/>
          <w:sz w:val="32"/>
        </w:rPr>
      </w:pPr>
      <w:r>
        <w:rPr>
          <w:rFonts w:ascii="Times New Roman" w:hAnsi="Times New Roman" w:eastAsia="仿宋_GB2312"/>
          <w:color w:val="000000"/>
          <w:sz w:val="32"/>
        </w:rPr>
        <w:t>昆生环复〔2026〕</w:t>
      </w:r>
      <w:r>
        <w:rPr>
          <w:rFonts w:hint="eastAsia" w:ascii="Times New Roman" w:hAnsi="Times New Roman" w:eastAsia="仿宋_GB2312"/>
          <w:color w:val="000000"/>
          <w:sz w:val="32"/>
        </w:rPr>
        <w:t>21</w:t>
      </w:r>
      <w:r>
        <w:rPr>
          <w:rFonts w:ascii="Times New Roman" w:hAnsi="Times New Roman" w:eastAsia="仿宋_GB2312"/>
          <w:color w:val="000000"/>
          <w:sz w:val="32"/>
        </w:rPr>
        <w:t>-</w:t>
      </w:r>
      <w:r>
        <w:rPr>
          <w:rFonts w:hint="eastAsia" w:ascii="Times New Roman" w:hAnsi="Times New Roman" w:eastAsia="仿宋_GB2312"/>
          <w:color w:val="000000"/>
          <w:sz w:val="32"/>
        </w:rPr>
        <w:t>2</w:t>
      </w:r>
      <w:r>
        <w:rPr>
          <w:rFonts w:ascii="Times New Roman" w:hAnsi="Times New Roman" w:eastAsia="仿宋_GB2312"/>
          <w:color w:val="000000"/>
          <w:sz w:val="32"/>
        </w:rPr>
        <w:t>号</w:t>
      </w:r>
    </w:p>
    <w:p w14:paraId="03AF8DB9">
      <w:pPr>
        <w:jc w:val="center"/>
        <w:rPr>
          <w:rFonts w:ascii="Times New Roman" w:hAnsi="Times New Roman" w:eastAsia="仿宋_GB2312"/>
          <w:color w:val="000000"/>
          <w:sz w:val="32"/>
        </w:rPr>
      </w:pPr>
    </w:p>
    <w:p w14:paraId="7AB7FBA6">
      <w:pPr>
        <w:rPr>
          <w:rFonts w:ascii="Times New Roman" w:hAnsi="Times New Roman"/>
          <w:sz w:val="32"/>
          <w:szCs w:val="32"/>
        </w:rPr>
      </w:pPr>
    </w:p>
    <w:p w14:paraId="09C53665">
      <w:pPr>
        <w:snapToGrid w:val="0"/>
        <w:spacing w:line="700" w:lineRule="exact"/>
        <w:jc w:val="center"/>
        <w:rPr>
          <w:rFonts w:ascii="Times New Roman" w:hAnsi="Times New Roman" w:eastAsia="方正小标宋简体"/>
          <w:sz w:val="44"/>
          <w:szCs w:val="44"/>
        </w:rPr>
      </w:pPr>
      <w:r>
        <w:rPr>
          <w:rFonts w:hint="eastAsia" w:ascii="方正小标宋简体" w:hAnsi="方正小标宋简体" w:eastAsia="方正小标宋简体"/>
          <w:sz w:val="44"/>
          <w:szCs w:val="44"/>
        </w:rPr>
        <w:t>昆明市生态环境局关于《磨憨沿边产业园核心区基础设施项目二期环境影响报告表》</w:t>
      </w:r>
    </w:p>
    <w:p w14:paraId="26967CDB">
      <w:pPr>
        <w:snapToGrid w:val="0"/>
        <w:spacing w:line="700" w:lineRule="exact"/>
        <w:jc w:val="center"/>
        <w:rPr>
          <w:rFonts w:hint="eastAsia" w:ascii="Times New Roman" w:hAnsi="Times New Roman" w:eastAsia="方正小标宋简体"/>
          <w:sz w:val="44"/>
          <w:szCs w:val="44"/>
        </w:rPr>
      </w:pPr>
      <w:r>
        <w:rPr>
          <w:rFonts w:hint="eastAsia" w:ascii="方正小标宋简体" w:hAnsi="方正小标宋简体" w:eastAsia="方正小标宋简体"/>
          <w:sz w:val="44"/>
          <w:szCs w:val="44"/>
        </w:rPr>
        <w:t>的批复</w:t>
      </w:r>
    </w:p>
    <w:p w14:paraId="00EEB057">
      <w:pPr>
        <w:spacing w:line="700" w:lineRule="exact"/>
        <w:rPr>
          <w:rFonts w:ascii="Times New Roman" w:hAnsi="Times New Roman"/>
          <w:szCs w:val="21"/>
        </w:rPr>
      </w:pPr>
      <w:r>
        <w:rPr>
          <w:rFonts w:ascii="Times New Roman" w:hAnsi="Times New Roman"/>
          <w:szCs w:val="21"/>
        </w:rPr>
        <w:t xml:space="preserve"> </w:t>
      </w:r>
    </w:p>
    <w:p w14:paraId="63E1F9C3">
      <w:pPr>
        <w:autoSpaceDE w:val="0"/>
        <w:spacing w:after="100" w:afterAutospacing="1" w:line="560" w:lineRule="exact"/>
        <w:rPr>
          <w:rFonts w:ascii="Times New Roman" w:hAnsi="Times New Roman" w:eastAsia="仿宋_GB2312"/>
          <w:spacing w:val="-10"/>
          <w:sz w:val="32"/>
          <w:szCs w:val="32"/>
        </w:rPr>
      </w:pPr>
      <w:r>
        <w:rPr>
          <w:rFonts w:hint="eastAsia" w:ascii="仿宋_GB2312" w:hAnsi="Times New Roman" w:eastAsia="仿宋_GB2312"/>
          <w:spacing w:val="-10"/>
          <w:sz w:val="32"/>
          <w:szCs w:val="32"/>
        </w:rPr>
        <w:t>中国老挝磨憨—磨丁经济合作区管理委员会公园城市建设管理局：</w:t>
      </w:r>
    </w:p>
    <w:p w14:paraId="1891BD35">
      <w:pPr>
        <w:autoSpaceDE w:val="0"/>
        <w:spacing w:after="100" w:afterAutospacing="1"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你单位委托云南协同环保工程有限公司编制的《磨憨沿边产业园核心区基础设施项目二期环境影响报告表》（以下简称《报告表》，项目代码：</w:t>
      </w:r>
      <w:r>
        <w:rPr>
          <w:rFonts w:hint="eastAsia" w:ascii="Times New Roman" w:hAnsi="Times New Roman" w:eastAsia="仿宋_GB2312"/>
          <w:sz w:val="32"/>
          <w:szCs w:val="32"/>
        </w:rPr>
        <w:t>2403-530139-04-01-536939</w:t>
      </w:r>
      <w:r>
        <w:rPr>
          <w:rFonts w:hint="eastAsia" w:ascii="仿宋_GB2312" w:hAnsi="Times New Roman" w:eastAsia="仿宋_GB2312"/>
          <w:sz w:val="32"/>
          <w:szCs w:val="32"/>
        </w:rPr>
        <w:t>）收悉。根据《中华人民共和国环境影响评价法》第二十二条、《建设项目环境保护管理条例》第九条、</w:t>
      </w:r>
      <w:r>
        <w:rPr>
          <w:rFonts w:ascii="仿宋_GB2312" w:hAnsi="Times New Roman" w:eastAsia="仿宋_GB2312"/>
          <w:kern w:val="0"/>
          <w:sz w:val="32"/>
          <w:szCs w:val="32"/>
        </w:rPr>
        <w:t>《</w:t>
      </w:r>
      <w:r>
        <w:rPr>
          <w:rFonts w:ascii="仿宋_GB2312" w:hAnsi="Times New Roman" w:eastAsia="仿宋_GB2312"/>
          <w:sz w:val="32"/>
          <w:szCs w:val="32"/>
        </w:rPr>
        <w:t>昆明市生态环境局建设项目环境影响评价文件审批事项实施告知承诺制审批实施细则（试行）</w:t>
      </w:r>
      <w:r>
        <w:rPr>
          <w:rFonts w:ascii="仿宋_GB2312" w:hAnsi="Times New Roman" w:eastAsia="仿宋_GB2312"/>
          <w:kern w:val="0"/>
          <w:sz w:val="32"/>
          <w:szCs w:val="32"/>
        </w:rPr>
        <w:t>》</w:t>
      </w:r>
      <w:r>
        <w:rPr>
          <w:rFonts w:hint="eastAsia" w:ascii="仿宋_GB2312" w:hAnsi="Times New Roman" w:eastAsia="仿宋_GB2312"/>
          <w:kern w:val="0"/>
          <w:sz w:val="32"/>
          <w:szCs w:val="32"/>
        </w:rPr>
        <w:t>及</w:t>
      </w:r>
      <w:r>
        <w:rPr>
          <w:rFonts w:hint="eastAsia" w:ascii="仿宋_GB2312" w:hAnsi="Times New Roman" w:eastAsia="仿宋_GB2312"/>
          <w:sz w:val="32"/>
          <w:szCs w:val="32"/>
        </w:rPr>
        <w:t>你单位承诺</w:t>
      </w:r>
      <w:r>
        <w:rPr>
          <w:rFonts w:hint="eastAsia" w:ascii="仿宋_GB2312" w:hAnsi="Times New Roman" w:eastAsia="仿宋_GB2312"/>
          <w:kern w:val="0"/>
          <w:sz w:val="32"/>
          <w:szCs w:val="32"/>
        </w:rPr>
        <w:t>。</w:t>
      </w:r>
      <w:r>
        <w:rPr>
          <w:rFonts w:hint="eastAsia" w:ascii="仿宋_GB2312" w:hAnsi="Times New Roman" w:eastAsia="仿宋_GB2312"/>
          <w:sz w:val="32"/>
          <w:szCs w:val="32"/>
        </w:rPr>
        <w:t>经研究，批复如下：</w:t>
      </w:r>
    </w:p>
    <w:p w14:paraId="34A7DB13">
      <w:pPr>
        <w:spacing w:line="560" w:lineRule="exact"/>
        <w:ind w:firstLine="640" w:firstLineChars="200"/>
        <w:rPr>
          <w:rFonts w:hint="eastAsia" w:ascii="Times New Roman" w:hAnsi="Times New Roman" w:eastAsia="仿宋_GB2312" w:cs="仿宋_GB2312"/>
          <w:sz w:val="32"/>
          <w:szCs w:val="32"/>
        </w:rPr>
      </w:pPr>
      <w:r>
        <w:rPr>
          <w:rFonts w:hint="eastAsia" w:ascii="仿宋_GB2312" w:hAnsi="Times New Roman" w:eastAsia="仿宋_GB2312" w:cs="宋体"/>
          <w:sz w:val="32"/>
          <w:szCs w:val="32"/>
        </w:rPr>
        <w:t>一、项目建设地点：中国老挝磨憨—磨丁经济合作区。项目</w:t>
      </w:r>
      <w:r>
        <w:rPr>
          <w:rFonts w:ascii="仿宋_GB2312" w:hAnsi="Times New Roman" w:eastAsia="仿宋_GB2312" w:cs="仿宋_GB2312"/>
          <w:sz w:val="32"/>
          <w:szCs w:val="32"/>
        </w:rPr>
        <w:t>建设内容：项目起于规划茶农大道与</w:t>
      </w:r>
      <w:r>
        <w:rPr>
          <w:rFonts w:ascii="Times New Roman" w:hAnsi="Times New Roman" w:eastAsia="仿宋_GB2312" w:cs="仿宋_GB2312"/>
          <w:sz w:val="32"/>
          <w:szCs w:val="32"/>
        </w:rPr>
        <w:t>G213</w:t>
      </w:r>
      <w:r>
        <w:rPr>
          <w:rFonts w:ascii="仿宋_GB2312" w:hAnsi="Times New Roman" w:eastAsia="仿宋_GB2312" w:cs="仿宋_GB2312"/>
          <w:sz w:val="32"/>
          <w:szCs w:val="32"/>
        </w:rPr>
        <w:t>交叉口南侧（桩号：</w:t>
      </w:r>
      <w:r>
        <w:rPr>
          <w:rFonts w:ascii="Times New Roman" w:hAnsi="Times New Roman" w:eastAsia="仿宋_GB2312"/>
          <w:sz w:val="32"/>
          <w:szCs w:val="32"/>
        </w:rPr>
        <w:t>K0+350</w:t>
      </w:r>
      <w:r>
        <w:rPr>
          <w:rFonts w:ascii="仿宋_GB2312" w:hAnsi="Times New Roman" w:eastAsia="仿宋_GB2312" w:cs="仿宋_GB2312"/>
          <w:sz w:val="32"/>
          <w:szCs w:val="32"/>
        </w:rPr>
        <w:t>），顺接规划</w:t>
      </w:r>
      <w:r>
        <w:rPr>
          <w:rFonts w:ascii="Times New Roman" w:hAnsi="Times New Roman" w:eastAsia="仿宋_GB2312"/>
          <w:sz w:val="32"/>
          <w:szCs w:val="32"/>
        </w:rPr>
        <w:t>G213</w:t>
      </w:r>
      <w:r>
        <w:rPr>
          <w:rFonts w:ascii="仿宋_GB2312" w:hAnsi="Times New Roman" w:eastAsia="仿宋_GB2312" w:cs="仿宋_GB2312"/>
          <w:sz w:val="32"/>
          <w:szCs w:val="32"/>
        </w:rPr>
        <w:t>；止点位于南坡国际产能合作区北侧，止点顺接磨憨货运大道（一期）工程起点（桩号：</w:t>
      </w:r>
      <w:r>
        <w:rPr>
          <w:rFonts w:ascii="Times New Roman" w:hAnsi="Times New Roman" w:eastAsia="仿宋_GB2312"/>
          <w:sz w:val="32"/>
          <w:szCs w:val="32"/>
        </w:rPr>
        <w:t>K1+701.357</w:t>
      </w:r>
      <w:r>
        <w:rPr>
          <w:rFonts w:ascii="仿宋_GB2312" w:hAnsi="Times New Roman" w:eastAsia="仿宋_GB2312" w:cs="仿宋_GB2312"/>
          <w:sz w:val="32"/>
          <w:szCs w:val="32"/>
        </w:rPr>
        <w:t>）。路线全长</w:t>
      </w:r>
      <w:r>
        <w:rPr>
          <w:rFonts w:ascii="Times New Roman" w:hAnsi="Times New Roman" w:eastAsia="仿宋_GB2312"/>
          <w:sz w:val="32"/>
          <w:szCs w:val="32"/>
        </w:rPr>
        <w:t>1351.357m</w:t>
      </w:r>
      <w:r>
        <w:rPr>
          <w:rFonts w:ascii="仿宋_GB2312" w:hAnsi="Times New Roman" w:eastAsia="仿宋_GB2312" w:cs="仿宋_GB2312"/>
          <w:sz w:val="32"/>
          <w:szCs w:val="32"/>
        </w:rPr>
        <w:t>，为园区基础设施配套道路，全线采用双向四车道标准，设计速度</w:t>
      </w:r>
      <w:r>
        <w:rPr>
          <w:rFonts w:ascii="Times New Roman" w:hAnsi="Times New Roman" w:eastAsia="仿宋_GB2312"/>
          <w:sz w:val="32"/>
          <w:szCs w:val="32"/>
        </w:rPr>
        <w:t>60km/h</w:t>
      </w:r>
      <w:r>
        <w:rPr>
          <w:rFonts w:ascii="仿宋_GB2312" w:hAnsi="Times New Roman" w:eastAsia="仿宋_GB2312" w:cs="仿宋_GB2312"/>
          <w:sz w:val="32"/>
          <w:szCs w:val="32"/>
        </w:rPr>
        <w:t>，路基宽度</w:t>
      </w:r>
      <w:r>
        <w:rPr>
          <w:rFonts w:ascii="Times New Roman" w:hAnsi="Times New Roman" w:eastAsia="仿宋_GB2312"/>
          <w:sz w:val="32"/>
          <w:szCs w:val="32"/>
        </w:rPr>
        <w:t>24.5m</w:t>
      </w:r>
      <w:r>
        <w:rPr>
          <w:rFonts w:ascii="仿宋_GB2312" w:hAnsi="Times New Roman" w:eastAsia="仿宋_GB2312" w:cs="仿宋_GB2312"/>
          <w:sz w:val="32"/>
          <w:szCs w:val="32"/>
        </w:rPr>
        <w:t>。总占地面积为</w:t>
      </w:r>
      <w:r>
        <w:rPr>
          <w:rFonts w:ascii="Times New Roman" w:hAnsi="Times New Roman" w:eastAsia="仿宋_GB2312" w:cs="仿宋_GB2312"/>
          <w:sz w:val="32"/>
          <w:szCs w:val="32"/>
        </w:rPr>
        <w:t>80200m</w:t>
      </w:r>
      <w:r>
        <w:rPr>
          <w:rFonts w:hint="eastAsia" w:ascii="Times New Roman" w:hAnsi="Times New Roman" w:eastAsia="仿宋_GB2312"/>
          <w:sz w:val="32"/>
          <w:szCs w:val="32"/>
          <w:vertAlign w:val="superscript"/>
        </w:rPr>
        <w:t>2</w:t>
      </w:r>
      <w:r>
        <w:rPr>
          <w:rFonts w:ascii="仿宋_GB2312" w:hAnsi="Times New Roman" w:eastAsia="仿宋_GB2312" w:cs="仿宋_GB2312"/>
          <w:sz w:val="32"/>
          <w:szCs w:val="32"/>
        </w:rPr>
        <w:t>，其中永久占地</w:t>
      </w:r>
      <w:r>
        <w:rPr>
          <w:rFonts w:ascii="Times New Roman" w:hAnsi="Times New Roman" w:eastAsia="仿宋_GB2312" w:cs="仿宋_GB2312"/>
          <w:sz w:val="32"/>
          <w:szCs w:val="32"/>
        </w:rPr>
        <w:t>74400m</w:t>
      </w:r>
      <w:r>
        <w:rPr>
          <w:rFonts w:hint="eastAsia" w:ascii="Times New Roman" w:hAnsi="Times New Roman" w:eastAsia="仿宋_GB2312"/>
          <w:sz w:val="32"/>
          <w:szCs w:val="32"/>
          <w:vertAlign w:val="superscript"/>
        </w:rPr>
        <w:t>2</w:t>
      </w:r>
      <w:r>
        <w:rPr>
          <w:rFonts w:ascii="仿宋_GB2312" w:hAnsi="Times New Roman" w:eastAsia="仿宋_GB2312" w:cs="仿宋_GB2312"/>
          <w:sz w:val="32"/>
          <w:szCs w:val="32"/>
        </w:rPr>
        <w:t>，临时占地面积为</w:t>
      </w:r>
      <w:r>
        <w:rPr>
          <w:rFonts w:ascii="Times New Roman" w:hAnsi="Times New Roman" w:eastAsia="仿宋_GB2312" w:cs="仿宋_GB2312"/>
          <w:sz w:val="32"/>
          <w:szCs w:val="32"/>
        </w:rPr>
        <w:t>5800m</w:t>
      </w:r>
      <w:r>
        <w:rPr>
          <w:rFonts w:hint="eastAsia" w:ascii="Times New Roman" w:hAnsi="Times New Roman" w:eastAsia="仿宋_GB2312"/>
          <w:sz w:val="32"/>
          <w:szCs w:val="32"/>
          <w:vertAlign w:val="superscript"/>
        </w:rPr>
        <w:t>2</w:t>
      </w:r>
      <w:r>
        <w:rPr>
          <w:rFonts w:ascii="仿宋_GB2312" w:hAnsi="Times New Roman" w:eastAsia="仿宋_GB2312" w:cs="仿宋_GB2312"/>
          <w:sz w:val="32"/>
          <w:szCs w:val="32"/>
        </w:rPr>
        <w:t>。</w:t>
      </w:r>
    </w:p>
    <w:p w14:paraId="49D93174">
      <w:pPr>
        <w:spacing w:line="560" w:lineRule="exact"/>
        <w:ind w:firstLine="640" w:firstLineChars="200"/>
        <w:rPr>
          <w:rFonts w:ascii="Times New Roman" w:hAnsi="Times New Roman" w:eastAsia="仿宋_GB2312" w:cs="仿宋_GB2312"/>
          <w:sz w:val="32"/>
          <w:szCs w:val="32"/>
        </w:rPr>
      </w:pPr>
      <w:r>
        <w:rPr>
          <w:rFonts w:ascii="仿宋_GB2312" w:hAnsi="Times New Roman" w:eastAsia="仿宋_GB2312" w:cs="仿宋_GB2312"/>
          <w:sz w:val="32"/>
          <w:szCs w:val="32"/>
        </w:rPr>
        <w:t>项目总投资</w:t>
      </w:r>
      <w:r>
        <w:rPr>
          <w:rFonts w:ascii="Times New Roman" w:hAnsi="Times New Roman" w:eastAsia="仿宋_GB2312" w:cs="仿宋_GB2312"/>
          <w:sz w:val="32"/>
          <w:szCs w:val="32"/>
        </w:rPr>
        <w:t>23761.14</w:t>
      </w:r>
      <w:r>
        <w:rPr>
          <w:rFonts w:ascii="仿宋_GB2312" w:hAnsi="Times New Roman" w:eastAsia="仿宋_GB2312" w:cs="仿宋_GB2312"/>
          <w:sz w:val="32"/>
          <w:szCs w:val="32"/>
        </w:rPr>
        <w:t>万元，其中环保投资</w:t>
      </w:r>
      <w:r>
        <w:rPr>
          <w:rFonts w:ascii="Times New Roman" w:hAnsi="Times New Roman" w:eastAsia="仿宋_GB2312" w:cs="仿宋_GB2312"/>
          <w:sz w:val="32"/>
          <w:szCs w:val="32"/>
        </w:rPr>
        <w:t>74.6</w:t>
      </w:r>
      <w:r>
        <w:rPr>
          <w:rFonts w:ascii="仿宋_GB2312" w:hAnsi="Times New Roman" w:eastAsia="仿宋_GB2312" w:cs="仿宋_GB2312"/>
          <w:sz w:val="32"/>
          <w:szCs w:val="32"/>
        </w:rPr>
        <w:t>万元。</w:t>
      </w:r>
    </w:p>
    <w:p w14:paraId="17BCB454">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二、根据项目环境影响评价结论，在全面落实《报告表》提出的各项生态环保和污染防治措施的前提下，工程建设和运营对环境的不利影响可以得到缓解和控制。原则同意</w:t>
      </w:r>
      <w:r>
        <w:rPr>
          <w:rFonts w:hint="eastAsia" w:ascii="仿宋_GB2312" w:hAnsi="Times New Roman" w:eastAsia="仿宋_GB2312"/>
          <w:sz w:val="32"/>
          <w:szCs w:val="32"/>
          <w:lang w:eastAsia="zh-CN"/>
        </w:rPr>
        <w:t>项目</w:t>
      </w:r>
      <w:r>
        <w:rPr>
          <w:rFonts w:hint="eastAsia" w:ascii="仿宋_GB2312" w:hAnsi="Times New Roman" w:eastAsia="仿宋_GB2312"/>
          <w:sz w:val="32"/>
          <w:szCs w:val="32"/>
        </w:rPr>
        <w:t>按照《报告表》所述工程内容、规模、功能、排放标准、环保对策措施建设。</w:t>
      </w:r>
    </w:p>
    <w:p w14:paraId="176B5F5B">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三、你单位应当严格落实《报告表》提出的生态保护和环境污染防治的各项措施，严格执行配套建设的环境保护设施应与主体工程同时设计、同时施工、同时投入使用的环保“三同时”制度，项目建成投入试运行后，按规定自主开展竣工环保验收，经验收合格后方可正式投入运行。</w:t>
      </w:r>
    </w:p>
    <w:p w14:paraId="59B769FA">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四、</w:t>
      </w:r>
      <w:r>
        <w:rPr>
          <w:rFonts w:hint="eastAsia" w:ascii="仿宋_GB2312" w:hAnsi="Times New Roman" w:eastAsia="仿宋_GB2312"/>
          <w:sz w:val="32"/>
          <w:szCs w:val="32"/>
          <w:lang w:eastAsia="zh-CN"/>
        </w:rPr>
        <w:t>项目</w:t>
      </w:r>
      <w:r>
        <w:rPr>
          <w:rFonts w:hint="eastAsia" w:ascii="仿宋_GB2312" w:hAnsi="Times New Roman" w:eastAsia="仿宋_GB2312"/>
          <w:sz w:val="32"/>
          <w:szCs w:val="32"/>
        </w:rPr>
        <w:t>的性质、规模、地点或者防治污染、防止生态破坏的措施发生重大变动的，</w:t>
      </w:r>
      <w:bookmarkStart w:id="0" w:name="_GoBack"/>
      <w:bookmarkEnd w:id="0"/>
      <w:r>
        <w:rPr>
          <w:rFonts w:hint="eastAsia" w:ascii="仿宋_GB2312" w:hAnsi="Times New Roman" w:eastAsia="仿宋_GB2312"/>
          <w:sz w:val="32"/>
          <w:szCs w:val="32"/>
        </w:rPr>
        <w:t>应当重新报批建设项目的环境影响评价文件。自本批复之日起超过五年，方决定该项目开工建设的，环境影响评价文件应当报我局重新审核。</w:t>
      </w:r>
    </w:p>
    <w:p w14:paraId="65F8329E">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五、你单位应按规定接受各级生态环境主管部门的监督检查。请昆明市生态环境局磨憨分局负责组织对项目的环境执法、现场监察和日常监督管理，请市生态环境保护综合行政执法支队加强监督检查。</w:t>
      </w:r>
    </w:p>
    <w:p w14:paraId="301DDC0E">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六、我局将在做出告知承诺审批决定的</w:t>
      </w:r>
      <w:r>
        <w:rPr>
          <w:rFonts w:hint="eastAsia" w:ascii="Times New Roman" w:hAnsi="Times New Roman" w:eastAsia="仿宋_GB2312"/>
          <w:sz w:val="32"/>
          <w:szCs w:val="32"/>
        </w:rPr>
        <w:t>1</w:t>
      </w:r>
      <w:r>
        <w:rPr>
          <w:rFonts w:hint="eastAsia" w:ascii="仿宋_GB2312" w:hAnsi="Times New Roman" w:eastAsia="仿宋_GB2312"/>
          <w:sz w:val="32"/>
          <w:szCs w:val="32"/>
        </w:rPr>
        <w:t>个月内，组织技术评估机构对该项目环境影响评价文件的质量进行核查，核查中发现不符合告知承诺制或申报的环评文件存在严重质量问题及《建设项目环境保护管理条例》第十一条所列不予批准环境影响评价情形的，将依法撤销该项目审批决定，造成的一切法律后果和经济损失均由你单位和环评编制单位承担。</w:t>
      </w:r>
    </w:p>
    <w:p w14:paraId="080E7255">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七、依法到其他部门办理相关手续。</w:t>
      </w:r>
      <w:r>
        <w:rPr>
          <w:rFonts w:hint="eastAsia" w:ascii="Times New Roman" w:hAnsi="Times New Roman" w:eastAsia="仿宋_GB2312"/>
          <w:sz w:val="32"/>
          <w:szCs w:val="32"/>
        </w:rPr>
        <w:t xml:space="preserve"> </w:t>
      </w:r>
    </w:p>
    <w:p w14:paraId="6D45F03A">
      <w:pPr>
        <w:autoSpaceDE w:val="0"/>
        <w:spacing w:line="560" w:lineRule="exact"/>
        <w:ind w:firstLine="640" w:firstLineChars="200"/>
        <w:rPr>
          <w:rFonts w:hint="eastAsia" w:ascii="Times New Roman" w:hAnsi="Times New Roman" w:eastAsia="仿宋_GB2312"/>
          <w:sz w:val="32"/>
          <w:szCs w:val="32"/>
        </w:rPr>
      </w:pPr>
    </w:p>
    <w:p w14:paraId="43581015">
      <w:pPr>
        <w:autoSpaceDE w:val="0"/>
        <w:spacing w:line="560" w:lineRule="exact"/>
        <w:ind w:firstLine="640" w:firstLineChars="200"/>
        <w:rPr>
          <w:rFonts w:hint="eastAsia" w:ascii="Times New Roman" w:hAnsi="Times New Roman" w:eastAsia="仿宋_GB2312"/>
          <w:sz w:val="32"/>
          <w:szCs w:val="32"/>
        </w:rPr>
      </w:pPr>
    </w:p>
    <w:p w14:paraId="7764DF51">
      <w:pPr>
        <w:autoSpaceDE w:val="0"/>
        <w:spacing w:line="560" w:lineRule="exact"/>
        <w:ind w:firstLine="640" w:firstLineChars="200"/>
        <w:rPr>
          <w:rFonts w:hint="eastAsia" w:ascii="Times New Roman" w:hAnsi="Times New Roman" w:eastAsia="仿宋_GB2312"/>
          <w:sz w:val="32"/>
          <w:szCs w:val="32"/>
        </w:rPr>
      </w:pPr>
    </w:p>
    <w:p w14:paraId="5B219068">
      <w:pPr>
        <w:autoSpaceDE w:val="0"/>
        <w:spacing w:line="560" w:lineRule="exact"/>
        <w:ind w:firstLine="640" w:firstLineChars="200"/>
        <w:rPr>
          <w:rFonts w:ascii="Times New Roman" w:hAnsi="Times New Roman" w:eastAsia="仿宋_GB2312"/>
          <w:sz w:val="32"/>
          <w:szCs w:val="32"/>
        </w:rPr>
      </w:pPr>
    </w:p>
    <w:p w14:paraId="065A5E8D">
      <w:pPr>
        <w:suppressAutoHyphens/>
        <w:adjustRightInd w:val="0"/>
        <w:spacing w:line="560" w:lineRule="exact"/>
        <w:ind w:firstLine="640" w:firstLineChars="200"/>
        <w:jc w:val="center"/>
        <w:rPr>
          <w:rFonts w:hint="eastAsia" w:ascii="Times New Roman" w:hAnsi="Times New Roman" w:eastAsia="仿宋_GB2312"/>
          <w:sz w:val="28"/>
          <w:szCs w:val="28"/>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3</w:t>
      </w:r>
      <w:r>
        <w:rPr>
          <w:rFonts w:ascii="Times New Roman" w:hAnsi="Times New Roman" w:eastAsia="仿宋_GB2312"/>
          <w:sz w:val="32"/>
          <w:szCs w:val="32"/>
        </w:rPr>
        <w:t>日</w:t>
      </w:r>
    </w:p>
    <w:p w14:paraId="712493D6">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14860EED">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14:paraId="7E1090CB">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color w:val="000000"/>
          <w:sz w:val="28"/>
          <w:szCs w:val="28"/>
        </w:rPr>
        <w:t>云南</w:t>
      </w:r>
      <w:r>
        <w:rPr>
          <w:rFonts w:ascii="仿宋_GB2312" w:hAnsi="Times New Roman" w:eastAsia="仿宋_GB2312"/>
          <w:color w:val="000000"/>
          <w:sz w:val="28"/>
          <w:szCs w:val="28"/>
        </w:rPr>
        <w:t>省生态环境厅。市生态环境局</w:t>
      </w:r>
      <w:r>
        <w:rPr>
          <w:rFonts w:hint="eastAsia" w:ascii="仿宋_GB2312" w:hAnsi="Times New Roman" w:eastAsia="仿宋_GB2312"/>
          <w:color w:val="000000"/>
          <w:sz w:val="28"/>
          <w:szCs w:val="28"/>
        </w:rPr>
        <w:t>中国老挝磨憨—磨丁经济合作</w:t>
      </w:r>
      <w:r>
        <w:rPr>
          <w:rFonts w:hint="eastAsia" w:ascii="仿宋_GB2312" w:hAnsi="Times New Roman" w:eastAsia="仿宋_GB2312"/>
          <w:color w:val="000000"/>
          <w:spacing w:val="-6"/>
          <w:sz w:val="28"/>
          <w:szCs w:val="28"/>
        </w:rPr>
        <w:t>区</w:t>
      </w:r>
      <w:r>
        <w:rPr>
          <w:rFonts w:ascii="仿宋_GB2312" w:hAnsi="Times New Roman" w:eastAsia="仿宋_GB2312"/>
          <w:color w:val="000000"/>
          <w:spacing w:val="-6"/>
          <w:sz w:val="28"/>
          <w:szCs w:val="28"/>
        </w:rPr>
        <w:t>分局，</w:t>
      </w:r>
      <w:r>
        <w:rPr>
          <w:rFonts w:hint="eastAsia" w:ascii="仿宋_GB2312" w:hAnsi="Times New Roman" w:eastAsia="仿宋_GB2312"/>
          <w:color w:val="000000"/>
          <w:spacing w:val="-6"/>
          <w:sz w:val="28"/>
          <w:szCs w:val="28"/>
        </w:rPr>
        <w:t>局机关各处室，各直属单位</w:t>
      </w:r>
      <w:r>
        <w:rPr>
          <w:rFonts w:ascii="仿宋_GB2312" w:hAnsi="Times New Roman" w:eastAsia="仿宋_GB2312"/>
          <w:color w:val="000000"/>
          <w:spacing w:val="-6"/>
          <w:sz w:val="28"/>
          <w:szCs w:val="28"/>
        </w:rPr>
        <w:t>。</w:t>
      </w:r>
      <w:r>
        <w:rPr>
          <w:rFonts w:hint="eastAsia" w:ascii="仿宋_GB2312" w:hAnsi="Times New Roman" w:eastAsia="仿宋_GB2312"/>
          <w:color w:val="000000"/>
          <w:spacing w:val="-6"/>
          <w:sz w:val="28"/>
          <w:szCs w:val="28"/>
        </w:rPr>
        <w:t>云南协同环保工程有限公司</w:t>
      </w:r>
      <w:r>
        <w:rPr>
          <w:rFonts w:ascii="Times New Roman" w:hAnsi="Times New Roman" w:eastAsia="仿宋_GB2312"/>
          <w:sz w:val="28"/>
          <w:szCs w:val="28"/>
        </w:rPr>
        <w:t>。</w:t>
      </w:r>
    </w:p>
    <w:p w14:paraId="4F54825F">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3</w:t>
      </w:r>
      <w:r>
        <w:rPr>
          <w:rFonts w:ascii="Times New Roman" w:hAnsi="Times New Roman" w:eastAsia="仿宋_GB2312"/>
          <w:sz w:val="28"/>
          <w:szCs w:val="28"/>
        </w:rPr>
        <w:t xml:space="preserve">日印发  </w:t>
      </w:r>
    </w:p>
    <w:p w14:paraId="63C68AC7"/>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A797">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- 4 -</w:t>
    </w:r>
    <w:r>
      <w:rPr>
        <w:rStyle w:val="11"/>
        <w:rFonts w:hint="eastAsia" w:ascii="仿宋_GB2312" w:eastAsia="仿宋_GB2312"/>
        <w:sz w:val="28"/>
        <w:szCs w:val="28"/>
      </w:rPr>
      <w:fldChar w:fldCharType="end"/>
    </w:r>
  </w:p>
  <w:p w14:paraId="7BF5A5F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D27C">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2C43357D">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1C08"/>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4F4"/>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457"/>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1F80"/>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D772B"/>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77D1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6903"/>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97D"/>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433"/>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753D7"/>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1F84"/>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B69"/>
    <w:rsid w:val="00A46D45"/>
    <w:rsid w:val="00A46FFB"/>
    <w:rsid w:val="00A47CEB"/>
    <w:rsid w:val="00A5046F"/>
    <w:rsid w:val="00A50F40"/>
    <w:rsid w:val="00A51FE5"/>
    <w:rsid w:val="00A539E3"/>
    <w:rsid w:val="00A53E36"/>
    <w:rsid w:val="00A54333"/>
    <w:rsid w:val="00A5452D"/>
    <w:rsid w:val="00A54E5D"/>
    <w:rsid w:val="00A5590D"/>
    <w:rsid w:val="00A57A5A"/>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4B7A"/>
    <w:rsid w:val="00B06027"/>
    <w:rsid w:val="00B06D8C"/>
    <w:rsid w:val="00B11BD2"/>
    <w:rsid w:val="00B11C93"/>
    <w:rsid w:val="00B1218E"/>
    <w:rsid w:val="00B1224B"/>
    <w:rsid w:val="00B13C92"/>
    <w:rsid w:val="00B14B7A"/>
    <w:rsid w:val="00B15D5A"/>
    <w:rsid w:val="00B16165"/>
    <w:rsid w:val="00B16830"/>
    <w:rsid w:val="00B17063"/>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5CE4"/>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03D"/>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C1B"/>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017CE"/>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77885"/>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qFormat/>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qFormat/>
    <w:uiPriority w:val="0"/>
    <w:rPr>
      <w:rFonts w:ascii="宋体" w:hAnsi="Courier New" w:eastAsia="宋体" w:cs="Times New Roman"/>
      <w:kern w:val="2"/>
      <w:sz w:val="21"/>
    </w:rPr>
  </w:style>
  <w:style w:type="paragraph" w:customStyle="1" w:styleId="18">
    <w:name w:val="文本正文"/>
    <w:basedOn w:val="1"/>
    <w:qFormat/>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3</Pages>
  <Words>1112</Words>
  <Characters>1211</Characters>
  <Lines>0</Lines>
  <Paragraphs>0</Paragraphs>
  <TotalTime>0</TotalTime>
  <ScaleCrop>false</ScaleCrop>
  <LinksUpToDate>false</LinksUpToDate>
  <CharactersWithSpaces>1256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2026-02-03T06:32:00Z</dcterms:created>
  <dc:creator>李敏</dc:creator>
  <cp:lastModifiedBy>M</cp:lastModifiedBy>
  <dcterms:modified xsi:type="dcterms:W3CDTF">2026-02-04T09:20:18Z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eyJoZGlkIjoiNTBmMTIzZmNiNjE2ZmNkNTIwYzVlZTQ0ZmRkNTdjYzYiLCJ1c2VySWQiOiI0MjU2NDUzNDUifQ==</vt:lpwstr>
  </property>
  <property fmtid="{D5CDD505-2E9C-101B-9397-08002B2CF9AE}" pid="4" name="ICV">
    <vt:lpwstr>D5CBAF0F25704A11BDC025A11D1442CF_12</vt:lpwstr>
  </property>
</Properties>
</file>