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bookmarkStart w:id="0" w:name="_GoBack"/>
      <w:r>
        <w:rPr>
          <w:rFonts w:ascii="Times New Roman" w:hAnsi="Times New Roman" w:eastAsia="仿宋_GB2312"/>
          <w:color w:val="000000"/>
          <w:sz w:val="32"/>
        </w:rPr>
        <w:t>昆生环复〔202</w:t>
      </w:r>
      <w:r>
        <w:rPr>
          <w:rFonts w:hint="eastAsia" w:ascii="Times New Roman" w:hAnsi="Times New Roman" w:eastAsia="仿宋_GB2312"/>
          <w:color w:val="000000"/>
          <w:sz w:val="32"/>
        </w:rPr>
        <w:t>6</w:t>
      </w:r>
      <w:r>
        <w:rPr>
          <w:rFonts w:ascii="Times New Roman" w:hAnsi="Times New Roman" w:eastAsia="仿宋_GB2312"/>
          <w:color w:val="000000"/>
          <w:sz w:val="32"/>
        </w:rPr>
        <w:t>〕</w:t>
      </w:r>
      <w:r>
        <w:rPr>
          <w:rFonts w:hint="eastAsia" w:ascii="Times New Roman" w:hAnsi="Times New Roman" w:eastAsia="仿宋_GB2312"/>
          <w:color w:val="000000"/>
          <w:sz w:val="32"/>
        </w:rPr>
        <w:t>14</w:t>
      </w:r>
      <w:r>
        <w:rPr>
          <w:rFonts w:ascii="Times New Roman" w:hAnsi="Times New Roman" w:eastAsia="仿宋_GB2312"/>
          <w:color w:val="000000"/>
          <w:sz w:val="32"/>
        </w:rPr>
        <w:t>-</w:t>
      </w:r>
      <w:r>
        <w:rPr>
          <w:rFonts w:hint="eastAsia" w:ascii="Times New Roman" w:hAnsi="Times New Roman" w:eastAsia="仿宋_GB2312"/>
          <w:color w:val="000000"/>
          <w:sz w:val="32"/>
        </w:rPr>
        <w:t>2</w:t>
      </w:r>
      <w:r>
        <w:rPr>
          <w:rFonts w:ascii="Times New Roman" w:hAnsi="Times New Roman" w:eastAsia="仿宋_GB2312"/>
          <w:color w:val="000000"/>
          <w:sz w:val="32"/>
        </w:rPr>
        <w:t>号</w:t>
      </w:r>
    </w:p>
    <w:bookmarkEnd w:id="0"/>
    <w:p>
      <w:pPr>
        <w:jc w:val="center"/>
        <w:rPr>
          <w:rFonts w:ascii="Times New Roman" w:hAnsi="Times New Roman" w:eastAsia="仿宋_GB2312"/>
          <w:color w:val="000000"/>
          <w:sz w:val="32"/>
        </w:rPr>
      </w:pPr>
    </w:p>
    <w:p>
      <w:pPr>
        <w:autoSpaceDE w:val="0"/>
        <w:spacing w:line="540" w:lineRule="exact"/>
        <w:jc w:val="center"/>
        <w:rPr>
          <w:rFonts w:hint="eastAsia"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昆明市生态环境局关于《PVC/PE管材生产</w:t>
      </w:r>
    </w:p>
    <w:p>
      <w:pPr>
        <w:autoSpaceDE w:val="0"/>
        <w:spacing w:line="540" w:lineRule="exact"/>
        <w:jc w:val="center"/>
        <w:rPr>
          <w:rFonts w:hint="eastAsia" w:ascii="方正小标宋简体" w:hAnsi="方正小标宋简体" w:eastAsia="方正小标宋简体"/>
          <w:bCs/>
          <w:kern w:val="0"/>
          <w:sz w:val="44"/>
          <w:szCs w:val="44"/>
        </w:rPr>
      </w:pPr>
      <w:r>
        <w:rPr>
          <w:rFonts w:hint="eastAsia" w:ascii="方正小标宋简体" w:hAnsi="方正小标宋简体" w:eastAsia="方正小标宋简体"/>
          <w:bCs/>
          <w:sz w:val="44"/>
          <w:szCs w:val="44"/>
        </w:rPr>
        <w:t>项目环境影响报告表》的批复</w:t>
      </w:r>
    </w:p>
    <w:p>
      <w:pPr>
        <w:spacing w:line="540" w:lineRule="exact"/>
        <w:rPr>
          <w:rFonts w:hint="eastAsia" w:eastAsia="仿宋_GB2312"/>
          <w:sz w:val="32"/>
          <w:szCs w:val="32"/>
        </w:rPr>
      </w:pPr>
      <w:r>
        <w:rPr>
          <w:rFonts w:hint="eastAsia" w:eastAsia="仿宋_GB2312"/>
          <w:sz w:val="32"/>
          <w:szCs w:val="32"/>
        </w:rPr>
        <w:t xml:space="preserve"> </w:t>
      </w:r>
    </w:p>
    <w:p>
      <w:pPr>
        <w:spacing w:line="540" w:lineRule="exact"/>
        <w:rPr>
          <w:rFonts w:hint="eastAsia" w:ascii="Times New Roman" w:hAnsi="Times New Roman" w:eastAsia="仿宋_GB2312"/>
          <w:sz w:val="32"/>
          <w:szCs w:val="32"/>
        </w:rPr>
      </w:pPr>
      <w:r>
        <w:rPr>
          <w:rFonts w:ascii="仿宋_GB2312" w:hAnsi="Times New Roman" w:eastAsia="仿宋_GB2312"/>
          <w:color w:val="000000"/>
          <w:sz w:val="32"/>
          <w:szCs w:val="32"/>
        </w:rPr>
        <w:t>云南中创节水灌溉有限公司</w:t>
      </w:r>
      <w:r>
        <w:rPr>
          <w:rFonts w:ascii="仿宋_GB2312" w:hAnsi="Times New Roman" w:eastAsia="仿宋_GB2312"/>
          <w:sz w:val="32"/>
          <w:szCs w:val="32"/>
        </w:rPr>
        <w:t>：</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你单位委托云南江楚环保科技有限公司编制的《</w:t>
      </w:r>
      <w:r>
        <w:rPr>
          <w:rFonts w:ascii="Times New Roman" w:hAnsi="Times New Roman" w:eastAsia="仿宋_GB2312"/>
          <w:sz w:val="32"/>
          <w:szCs w:val="32"/>
        </w:rPr>
        <w:t>PVC/PE</w:t>
      </w:r>
      <w:r>
        <w:rPr>
          <w:rFonts w:ascii="仿宋_GB2312" w:hAnsi="Times New Roman" w:eastAsia="仿宋_GB2312"/>
          <w:sz w:val="32"/>
          <w:szCs w:val="32"/>
        </w:rPr>
        <w:t>管材生产项目环境影响报告表》（以下简称《报告表》，项目代码：</w:t>
      </w:r>
      <w:r>
        <w:rPr>
          <w:rFonts w:ascii="Times New Roman" w:hAnsi="Times New Roman" w:eastAsia="仿宋_GB2312"/>
          <w:sz w:val="32"/>
          <w:szCs w:val="32"/>
        </w:rPr>
        <w:t>2510-530124-04-01-707247</w:t>
      </w:r>
      <w:r>
        <w:rPr>
          <w:rFonts w:ascii="仿宋_GB2312" w:hAnsi="Times New Roman" w:eastAsia="仿宋_GB2312"/>
          <w:sz w:val="32"/>
          <w:szCs w:val="32"/>
        </w:rPr>
        <w:t>）收悉。根据《中华人民共和国环境影响评价法》第二十二条、《建设项目环境保护管理条例》第九条，经研究，批复如下：</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一、项目建设地点位于昆明市富民县大营街道办大营五金建材产业园</w:t>
      </w:r>
      <w:r>
        <w:rPr>
          <w:rFonts w:ascii="Times New Roman" w:hAnsi="Times New Roman" w:eastAsia="仿宋_GB2312"/>
          <w:sz w:val="32"/>
          <w:szCs w:val="32"/>
        </w:rPr>
        <w:t>19</w:t>
      </w:r>
      <w:r>
        <w:rPr>
          <w:rFonts w:ascii="仿宋_GB2312" w:hAnsi="Times New Roman" w:eastAsia="仿宋_GB2312"/>
          <w:sz w:val="32"/>
          <w:szCs w:val="32"/>
        </w:rPr>
        <w:t>号，项目占地面积</w:t>
      </w:r>
      <w:r>
        <w:rPr>
          <w:rFonts w:ascii="Times New Roman" w:hAnsi="Times New Roman" w:eastAsia="仿宋_GB2312"/>
          <w:sz w:val="32"/>
          <w:szCs w:val="32"/>
        </w:rPr>
        <w:t>8000m</w:t>
      </w:r>
      <w:r>
        <w:rPr>
          <w:rFonts w:ascii="Times New Roman" w:hAnsi="Times New Roman" w:eastAsia="仿宋_GB2312"/>
          <w:sz w:val="32"/>
          <w:szCs w:val="32"/>
          <w:vertAlign w:val="superscript"/>
        </w:rPr>
        <w:t>2</w:t>
      </w:r>
      <w:r>
        <w:rPr>
          <w:rFonts w:ascii="仿宋_GB2312" w:hAnsi="Times New Roman" w:eastAsia="仿宋_GB2312"/>
          <w:sz w:val="32"/>
          <w:szCs w:val="32"/>
        </w:rPr>
        <w:t>。建设内容包括主体工程、辅助工程、公用工程、环保工程，建设</w:t>
      </w:r>
      <w:r>
        <w:rPr>
          <w:rFonts w:ascii="Times New Roman" w:hAnsi="Times New Roman" w:eastAsia="仿宋_GB2312"/>
          <w:sz w:val="32"/>
          <w:szCs w:val="32"/>
        </w:rPr>
        <w:t>PVC/PE</w:t>
      </w:r>
      <w:r>
        <w:rPr>
          <w:rFonts w:ascii="仿宋_GB2312" w:hAnsi="Times New Roman" w:eastAsia="仿宋_GB2312"/>
          <w:sz w:val="32"/>
          <w:szCs w:val="32"/>
        </w:rPr>
        <w:t>管材生产线</w:t>
      </w:r>
      <w:r>
        <w:rPr>
          <w:rFonts w:ascii="Times New Roman" w:hAnsi="Times New Roman" w:eastAsia="仿宋_GB2312"/>
          <w:sz w:val="32"/>
          <w:szCs w:val="32"/>
        </w:rPr>
        <w:t>16</w:t>
      </w:r>
      <w:r>
        <w:rPr>
          <w:rFonts w:ascii="仿宋_GB2312" w:hAnsi="Times New Roman" w:eastAsia="仿宋_GB2312"/>
          <w:sz w:val="32"/>
          <w:szCs w:val="32"/>
        </w:rPr>
        <w:t>条，其中</w:t>
      </w:r>
      <w:r>
        <w:rPr>
          <w:rFonts w:ascii="Times New Roman" w:hAnsi="Times New Roman" w:eastAsia="仿宋_GB2312"/>
          <w:sz w:val="32"/>
          <w:szCs w:val="32"/>
        </w:rPr>
        <w:t>PVC</w:t>
      </w:r>
      <w:r>
        <w:rPr>
          <w:rFonts w:ascii="仿宋_GB2312" w:hAnsi="Times New Roman" w:eastAsia="仿宋_GB2312"/>
          <w:sz w:val="32"/>
          <w:szCs w:val="32"/>
        </w:rPr>
        <w:t>管材生产线</w:t>
      </w:r>
      <w:r>
        <w:rPr>
          <w:rFonts w:ascii="Times New Roman" w:hAnsi="Times New Roman" w:eastAsia="仿宋_GB2312"/>
          <w:sz w:val="32"/>
          <w:szCs w:val="32"/>
        </w:rPr>
        <w:t>7</w:t>
      </w:r>
      <w:r>
        <w:rPr>
          <w:rFonts w:ascii="仿宋_GB2312" w:hAnsi="Times New Roman" w:eastAsia="仿宋_GB2312"/>
          <w:sz w:val="32"/>
          <w:szCs w:val="32"/>
        </w:rPr>
        <w:t>条，</w:t>
      </w:r>
      <w:r>
        <w:rPr>
          <w:rFonts w:ascii="Times New Roman" w:hAnsi="Times New Roman" w:eastAsia="仿宋_GB2312"/>
          <w:sz w:val="32"/>
          <w:szCs w:val="32"/>
        </w:rPr>
        <w:t>PE</w:t>
      </w:r>
      <w:r>
        <w:rPr>
          <w:rFonts w:ascii="仿宋_GB2312" w:hAnsi="Times New Roman" w:eastAsia="仿宋_GB2312"/>
          <w:sz w:val="32"/>
          <w:szCs w:val="32"/>
        </w:rPr>
        <w:t>管材生产线</w:t>
      </w:r>
      <w:r>
        <w:rPr>
          <w:rFonts w:ascii="Times New Roman" w:hAnsi="Times New Roman" w:eastAsia="仿宋_GB2312"/>
          <w:sz w:val="32"/>
          <w:szCs w:val="32"/>
        </w:rPr>
        <w:t>9</w:t>
      </w:r>
      <w:r>
        <w:rPr>
          <w:rFonts w:ascii="仿宋_GB2312" w:hAnsi="Times New Roman" w:eastAsia="仿宋_GB2312"/>
          <w:sz w:val="32"/>
          <w:szCs w:val="32"/>
        </w:rPr>
        <w:t>条。项目建成后预计年生产</w:t>
      </w:r>
      <w:r>
        <w:rPr>
          <w:rFonts w:ascii="Times New Roman" w:hAnsi="Times New Roman" w:eastAsia="仿宋_GB2312"/>
          <w:sz w:val="32"/>
          <w:szCs w:val="32"/>
        </w:rPr>
        <w:t>PVC/PE</w:t>
      </w:r>
      <w:r>
        <w:rPr>
          <w:rFonts w:ascii="仿宋_GB2312" w:hAnsi="Times New Roman" w:eastAsia="仿宋_GB2312"/>
          <w:sz w:val="32"/>
          <w:szCs w:val="32"/>
        </w:rPr>
        <w:t>管材</w:t>
      </w:r>
      <w:r>
        <w:rPr>
          <w:rFonts w:ascii="Times New Roman" w:hAnsi="Times New Roman" w:eastAsia="仿宋_GB2312"/>
          <w:sz w:val="32"/>
          <w:szCs w:val="32"/>
        </w:rPr>
        <w:t>12000</w:t>
      </w:r>
      <w:r>
        <w:rPr>
          <w:rFonts w:ascii="仿宋_GB2312" w:hAnsi="Times New Roman" w:eastAsia="仿宋_GB2312"/>
          <w:sz w:val="32"/>
          <w:szCs w:val="32"/>
        </w:rPr>
        <w:t>吨，其中</w:t>
      </w:r>
      <w:r>
        <w:rPr>
          <w:rFonts w:ascii="Times New Roman" w:hAnsi="Times New Roman" w:eastAsia="仿宋_GB2312"/>
          <w:sz w:val="32"/>
          <w:szCs w:val="32"/>
        </w:rPr>
        <w:t>PVC</w:t>
      </w:r>
      <w:r>
        <w:rPr>
          <w:rFonts w:ascii="仿宋_GB2312" w:hAnsi="Times New Roman" w:eastAsia="仿宋_GB2312"/>
          <w:sz w:val="32"/>
          <w:szCs w:val="32"/>
        </w:rPr>
        <w:t>管材</w:t>
      </w:r>
      <w:r>
        <w:rPr>
          <w:rFonts w:ascii="Times New Roman" w:hAnsi="Times New Roman" w:eastAsia="仿宋_GB2312"/>
          <w:sz w:val="32"/>
          <w:szCs w:val="32"/>
        </w:rPr>
        <w:t>6000</w:t>
      </w:r>
      <w:r>
        <w:rPr>
          <w:rFonts w:ascii="仿宋_GB2312" w:hAnsi="Times New Roman" w:eastAsia="仿宋_GB2312"/>
          <w:sz w:val="32"/>
          <w:szCs w:val="32"/>
        </w:rPr>
        <w:t>吨，</w:t>
      </w:r>
      <w:r>
        <w:rPr>
          <w:rFonts w:ascii="Times New Roman" w:hAnsi="Times New Roman" w:eastAsia="仿宋_GB2312"/>
          <w:sz w:val="32"/>
          <w:szCs w:val="32"/>
        </w:rPr>
        <w:t>PE</w:t>
      </w:r>
      <w:r>
        <w:rPr>
          <w:rFonts w:ascii="仿宋_GB2312" w:hAnsi="Times New Roman" w:eastAsia="仿宋_GB2312"/>
          <w:sz w:val="32"/>
          <w:szCs w:val="32"/>
        </w:rPr>
        <w:t>管材</w:t>
      </w:r>
      <w:r>
        <w:rPr>
          <w:rFonts w:ascii="Times New Roman" w:hAnsi="Times New Roman" w:eastAsia="仿宋_GB2312"/>
          <w:sz w:val="32"/>
          <w:szCs w:val="32"/>
        </w:rPr>
        <w:t>6000</w:t>
      </w:r>
      <w:r>
        <w:rPr>
          <w:rFonts w:ascii="仿宋_GB2312" w:hAnsi="Times New Roman" w:eastAsia="仿宋_GB2312"/>
          <w:sz w:val="32"/>
          <w:szCs w:val="32"/>
        </w:rPr>
        <w:t>吨。</w:t>
      </w:r>
    </w:p>
    <w:p>
      <w:pPr>
        <w:suppressAutoHyphens/>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bCs/>
          <w:sz w:val="32"/>
          <w:szCs w:val="32"/>
        </w:rPr>
        <w:t>项目总投资</w:t>
      </w:r>
      <w:r>
        <w:rPr>
          <w:rFonts w:ascii="Times New Roman" w:hAnsi="Times New Roman" w:eastAsia="仿宋_GB2312"/>
          <w:bCs/>
          <w:sz w:val="32"/>
          <w:szCs w:val="32"/>
        </w:rPr>
        <w:t>3000</w:t>
      </w:r>
      <w:r>
        <w:rPr>
          <w:rFonts w:ascii="仿宋_GB2312" w:hAnsi="Times New Roman" w:eastAsia="仿宋_GB2312"/>
          <w:bCs/>
          <w:sz w:val="32"/>
          <w:szCs w:val="32"/>
        </w:rPr>
        <w:t>万元，环保投资</w:t>
      </w:r>
      <w:r>
        <w:rPr>
          <w:rFonts w:ascii="Times New Roman" w:hAnsi="Times New Roman" w:eastAsia="仿宋_GB2312"/>
          <w:bCs/>
          <w:sz w:val="32"/>
          <w:szCs w:val="32"/>
        </w:rPr>
        <w:t>75.1</w:t>
      </w:r>
      <w:r>
        <w:rPr>
          <w:rFonts w:ascii="仿宋_GB2312" w:hAnsi="Times New Roman" w:eastAsia="仿宋_GB2312"/>
          <w:bCs/>
          <w:sz w:val="32"/>
          <w:szCs w:val="32"/>
        </w:rPr>
        <w:t>万元。</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根据昆明市生态环境工程评估中心出具的《关于对〈</w:t>
      </w:r>
      <w:r>
        <w:rPr>
          <w:rFonts w:ascii="Times New Roman" w:hAnsi="Times New Roman" w:eastAsia="仿宋_GB2312"/>
          <w:sz w:val="32"/>
          <w:szCs w:val="32"/>
        </w:rPr>
        <w:t>PVC/PE</w:t>
      </w:r>
      <w:r>
        <w:rPr>
          <w:rFonts w:ascii="仿宋_GB2312" w:hAnsi="Times New Roman" w:eastAsia="仿宋_GB2312"/>
          <w:sz w:val="32"/>
          <w:szCs w:val="32"/>
        </w:rPr>
        <w:t>管材生产项目项目环境影响报告表〉的技术评估意见》</w:t>
      </w:r>
      <w:r>
        <w:rPr>
          <w:rFonts w:hint="eastAsia" w:ascii="仿宋_GB2312" w:hAnsi="Times New Roman" w:eastAsia="仿宋_GB2312"/>
          <w:sz w:val="32"/>
          <w:szCs w:val="32"/>
        </w:rPr>
        <w:t>（</w:t>
      </w:r>
      <w:r>
        <w:rPr>
          <w:rFonts w:ascii="仿宋_GB2312" w:hAnsi="Times New Roman" w:eastAsia="仿宋_GB2312"/>
          <w:sz w:val="32"/>
          <w:szCs w:val="32"/>
        </w:rPr>
        <w:t>昆环评估意见〔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14-1</w:t>
      </w:r>
      <w:r>
        <w:rPr>
          <w:rFonts w:ascii="仿宋_GB2312" w:hAnsi="Times New Roman" w:eastAsia="仿宋_GB2312"/>
          <w:sz w:val="32"/>
          <w:szCs w:val="32"/>
        </w:rPr>
        <w:t>号</w:t>
      </w:r>
      <w:r>
        <w:rPr>
          <w:rFonts w:hint="eastAsia" w:ascii="仿宋_GB2312" w:hAnsi="Times New Roman" w:eastAsia="仿宋_GB2312"/>
          <w:sz w:val="32"/>
          <w:szCs w:val="32"/>
        </w:rPr>
        <w:t>）</w:t>
      </w:r>
      <w:r>
        <w:rPr>
          <w:rFonts w:ascii="仿宋_GB2312" w:hAnsi="Times New Roman" w:eastAsia="仿宋_GB2312"/>
          <w:sz w:val="32"/>
          <w:szCs w:val="32"/>
        </w:rPr>
        <w:t>，在全面落实《报告表》提出的各项生态保护和污染防治措施后，项目建设和运营的不良环境影响可以得到缓解和控制，同意项目按《报告表》内容、规模、功能以及环保对策措施进行建设。</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二、项目建设及营运期间重点做好以下工作</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（一）严格按照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项目运营期产生的食堂废水经隔油池处理后同其他办公生活污水一起进入云南皇派实业有限公司已建化粪池处理</w:t>
      </w:r>
      <w:r>
        <w:rPr>
          <w:rFonts w:ascii="仿宋_GB2312" w:hAnsi="Times New Roman" w:eastAsia="仿宋_GB2312"/>
          <w:color w:val="auto"/>
          <w:sz w:val="32"/>
          <w:szCs w:val="32"/>
        </w:rPr>
        <w:t>达</w:t>
      </w:r>
      <w:r>
        <w:rPr>
          <w:rFonts w:ascii="仿宋_GB2312" w:hAnsi="Times New Roman" w:eastAsia="仿宋_GB2312"/>
          <w:color w:val="auto"/>
          <w:sz w:val="32"/>
          <w:szCs w:val="32"/>
          <w:u w:val="none"/>
        </w:rPr>
        <w:t>《</w:t>
      </w:r>
      <w:r>
        <w:rPr>
          <w:color w:val="auto"/>
          <w:szCs w:val="21"/>
          <w:u w:val="none"/>
        </w:rPr>
        <w:fldChar w:fldCharType="begin" w:fldLock="1"/>
      </w:r>
      <w:r>
        <w:rPr>
          <w:color w:val="auto"/>
          <w:szCs w:val="21"/>
          <w:u w:val="none"/>
        </w:rPr>
        <w:instrText xml:space="preserve"> HYPERLINK "https://www.mee.gov.cn/ywgz/fgbz/bz/bzwb/shjbh/swrwpfbz/199801/W020061027521858212955.pdf" </w:instrText>
      </w:r>
      <w:r>
        <w:rPr>
          <w:color w:val="auto"/>
          <w:szCs w:val="21"/>
          <w:u w:val="none"/>
        </w:rPr>
        <w:fldChar w:fldCharType="separate"/>
      </w:r>
      <w:r>
        <w:rPr>
          <w:rFonts w:ascii="仿宋_GB2312" w:hAnsi="Times New Roman" w:eastAsia="仿宋_GB2312"/>
          <w:color w:val="auto"/>
          <w:sz w:val="32"/>
          <w:u w:val="none"/>
        </w:rPr>
        <w:t>污水综合排放标准》（</w:t>
      </w:r>
      <w:r>
        <w:rPr>
          <w:rFonts w:ascii="Times New Roman" w:hAnsi="Times New Roman" w:eastAsia="仿宋_GB2312"/>
          <w:color w:val="auto"/>
          <w:sz w:val="32"/>
          <w:u w:val="none"/>
        </w:rPr>
        <w:t>GB8978-1996</w:t>
      </w:r>
      <w:r>
        <w:rPr>
          <w:rFonts w:ascii="仿宋_GB2312" w:hAnsi="Times New Roman" w:eastAsia="仿宋_GB2312"/>
          <w:color w:val="auto"/>
          <w:sz w:val="32"/>
          <w:u w:val="none"/>
        </w:rPr>
        <w:t>）</w:t>
      </w:r>
      <w:r>
        <w:rPr>
          <w:color w:val="auto"/>
          <w:szCs w:val="21"/>
          <w:u w:val="none"/>
        </w:rPr>
        <w:fldChar w:fldCharType="end"/>
      </w:r>
      <w:r>
        <w:rPr>
          <w:rFonts w:ascii="仿宋_GB2312" w:hAnsi="Times New Roman" w:eastAsia="仿宋_GB2312"/>
          <w:sz w:val="32"/>
          <w:szCs w:val="32"/>
          <w:u w:val="none"/>
        </w:rPr>
        <w:t>三级</w:t>
      </w:r>
      <w:r>
        <w:rPr>
          <w:rFonts w:ascii="仿宋_GB2312" w:hAnsi="Times New Roman" w:eastAsia="仿宋_GB2312"/>
          <w:sz w:val="32"/>
          <w:szCs w:val="32"/>
        </w:rPr>
        <w:t>标准后排入园区污水管网，最终进入富民工业园区大营片区污水处理厂处理。</w:t>
      </w:r>
    </w:p>
    <w:p>
      <w:pPr>
        <w:adjustRightInd w:val="0"/>
        <w:spacing w:line="540"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施工期产生的</w:t>
      </w:r>
      <w:r>
        <w:rPr>
          <w:rFonts w:ascii="仿宋_GB2312" w:hAnsi="Times New Roman" w:eastAsia="仿宋_GB2312"/>
          <w:color w:val="000000"/>
          <w:sz w:val="32"/>
          <w:szCs w:val="32"/>
        </w:rPr>
        <w:t>生活污水依托已建化粪池处理达标后经市政污水管网进入大营污水处理厂处理。</w:t>
      </w:r>
    </w:p>
    <w:p>
      <w:pPr>
        <w:numPr>
          <w:ilvl w:val="0"/>
          <w:numId w:val="1"/>
        </w:num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严格落实各项大气污染防治措施，确保大气污染物达标排放。</w:t>
      </w:r>
    </w:p>
    <w:p>
      <w:p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项目共设置</w:t>
      </w:r>
      <w:r>
        <w:rPr>
          <w:rFonts w:ascii="Times New Roman" w:hAnsi="Times New Roman" w:eastAsia="仿宋_GB2312"/>
          <w:sz w:val="32"/>
          <w:szCs w:val="32"/>
        </w:rPr>
        <w:t>2</w:t>
      </w:r>
      <w:r>
        <w:rPr>
          <w:rFonts w:ascii="仿宋_GB2312" w:hAnsi="Times New Roman" w:eastAsia="仿宋_GB2312"/>
          <w:sz w:val="32"/>
          <w:szCs w:val="32"/>
        </w:rPr>
        <w:t>根排气筒，排气筒高度均不低于</w:t>
      </w:r>
      <w:r>
        <w:rPr>
          <w:rFonts w:ascii="Times New Roman" w:hAnsi="Times New Roman" w:eastAsia="仿宋_GB2312"/>
          <w:sz w:val="32"/>
          <w:szCs w:val="32"/>
        </w:rPr>
        <w:t>15</w:t>
      </w:r>
      <w:r>
        <w:rPr>
          <w:rFonts w:ascii="仿宋_GB2312" w:hAnsi="Times New Roman" w:eastAsia="仿宋_GB2312"/>
          <w:sz w:val="32"/>
          <w:szCs w:val="32"/>
        </w:rPr>
        <w:t>米。</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项目运营期产生的</w:t>
      </w:r>
      <w:r>
        <w:rPr>
          <w:rFonts w:ascii="仿宋_GB2312" w:hAnsi="Times New Roman" w:eastAsia="仿宋_GB2312"/>
          <w:color w:val="000000"/>
          <w:sz w:val="32"/>
          <w:szCs w:val="32"/>
        </w:rPr>
        <w:t>颗粒物、非甲烷总烃、氯化氢、氯乙烯执行《大气污染物综合排放标准》（</w:t>
      </w:r>
      <w:r>
        <w:rPr>
          <w:rFonts w:ascii="Times New Roman" w:hAnsi="Times New Roman" w:eastAsia="仿宋_GB2312"/>
          <w:color w:val="000000"/>
          <w:sz w:val="32"/>
          <w:szCs w:val="32"/>
        </w:rPr>
        <w:t>GB 16297-1996</w:t>
      </w:r>
      <w:r>
        <w:rPr>
          <w:rFonts w:ascii="仿宋_GB2312" w:hAnsi="Times New Roman" w:eastAsia="仿宋_GB2312"/>
          <w:color w:val="000000"/>
          <w:sz w:val="32"/>
          <w:szCs w:val="32"/>
        </w:rPr>
        <w:t>）表</w:t>
      </w:r>
      <w:r>
        <w:rPr>
          <w:rFonts w:ascii="Times New Roman" w:hAnsi="Times New Roman" w:eastAsia="仿宋_GB2312"/>
          <w:color w:val="000000"/>
          <w:sz w:val="32"/>
          <w:szCs w:val="32"/>
        </w:rPr>
        <w:t>2</w:t>
      </w:r>
      <w:r>
        <w:rPr>
          <w:rFonts w:ascii="仿宋_GB2312" w:hAnsi="Times New Roman" w:eastAsia="仿宋_GB2312"/>
          <w:color w:val="000000"/>
          <w:sz w:val="32"/>
          <w:szCs w:val="32"/>
        </w:rPr>
        <w:t>中二级排放限值，排放速率标准值严格</w:t>
      </w:r>
      <w:r>
        <w:rPr>
          <w:rFonts w:ascii="Times New Roman" w:hAnsi="Times New Roman" w:eastAsia="仿宋_GB2312"/>
          <w:color w:val="000000"/>
          <w:sz w:val="32"/>
          <w:szCs w:val="32"/>
        </w:rPr>
        <w:t>50%</w:t>
      </w:r>
      <w:r>
        <w:rPr>
          <w:rFonts w:ascii="仿宋_GB2312" w:hAnsi="Times New Roman" w:eastAsia="仿宋_GB2312"/>
          <w:color w:val="000000"/>
          <w:sz w:val="32"/>
          <w:szCs w:val="32"/>
        </w:rPr>
        <w:t>执行；臭气浓度为执行《恶臭污染物排放标准》（</w:t>
      </w:r>
      <w:r>
        <w:rPr>
          <w:rFonts w:ascii="Times New Roman" w:hAnsi="Times New Roman" w:eastAsia="仿宋_GB2312"/>
          <w:color w:val="000000"/>
          <w:sz w:val="32"/>
          <w:szCs w:val="32"/>
        </w:rPr>
        <w:t>GB14554-93</w:t>
      </w:r>
      <w:r>
        <w:rPr>
          <w:rFonts w:ascii="仿宋_GB2312" w:hAnsi="Times New Roman" w:eastAsia="仿宋_GB2312"/>
          <w:color w:val="000000"/>
          <w:sz w:val="32"/>
          <w:szCs w:val="32"/>
        </w:rPr>
        <w:t>）中表</w:t>
      </w:r>
      <w:r>
        <w:rPr>
          <w:rFonts w:ascii="Times New Roman" w:hAnsi="Times New Roman" w:eastAsia="仿宋_GB2312"/>
          <w:color w:val="000000"/>
          <w:sz w:val="32"/>
          <w:szCs w:val="32"/>
        </w:rPr>
        <w:t>2</w:t>
      </w:r>
      <w:r>
        <w:rPr>
          <w:rFonts w:ascii="仿宋_GB2312" w:hAnsi="Times New Roman" w:eastAsia="仿宋_GB2312"/>
          <w:color w:val="000000"/>
          <w:sz w:val="32"/>
          <w:szCs w:val="32"/>
        </w:rPr>
        <w:t>中排放标准值；食堂油烟排放浓度执行《饮食业油烟排放标准（试行）》（</w:t>
      </w:r>
      <w:r>
        <w:rPr>
          <w:rFonts w:ascii="Times New Roman" w:hAnsi="Times New Roman" w:eastAsia="仿宋_GB2312"/>
          <w:color w:val="000000"/>
          <w:sz w:val="32"/>
          <w:szCs w:val="32"/>
        </w:rPr>
        <w:t>GB18483-2001</w:t>
      </w:r>
      <w:r>
        <w:rPr>
          <w:rFonts w:ascii="仿宋_GB2312" w:hAnsi="Times New Roman" w:eastAsia="仿宋_GB2312"/>
          <w:color w:val="000000"/>
          <w:sz w:val="32"/>
          <w:szCs w:val="32"/>
        </w:rPr>
        <w:t>）表</w:t>
      </w:r>
      <w:r>
        <w:rPr>
          <w:rFonts w:ascii="Times New Roman" w:hAnsi="Times New Roman" w:eastAsia="仿宋_GB2312"/>
          <w:color w:val="000000"/>
          <w:sz w:val="32"/>
          <w:szCs w:val="32"/>
        </w:rPr>
        <w:t>2</w:t>
      </w:r>
      <w:r>
        <w:rPr>
          <w:rFonts w:ascii="仿宋_GB2312" w:hAnsi="Times New Roman" w:eastAsia="仿宋_GB2312"/>
          <w:color w:val="000000"/>
          <w:sz w:val="32"/>
          <w:szCs w:val="32"/>
        </w:rPr>
        <w:t>小型标准。</w:t>
      </w:r>
    </w:p>
    <w:p>
      <w:pPr>
        <w:autoSpaceDE w:val="0"/>
        <w:spacing w:line="54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厂界无组织颗粒物、非甲烷总烃、氯化氢、氯乙烯无组织排放执行《大气污染物综合排放标准》（</w:t>
      </w:r>
      <w:r>
        <w:rPr>
          <w:rFonts w:ascii="Times New Roman" w:hAnsi="Times New Roman" w:eastAsia="仿宋_GB2312"/>
          <w:color w:val="000000"/>
          <w:sz w:val="32"/>
          <w:szCs w:val="32"/>
        </w:rPr>
        <w:t>GB16297-1996</w:t>
      </w:r>
      <w:r>
        <w:rPr>
          <w:rFonts w:ascii="仿宋_GB2312" w:hAnsi="Times New Roman" w:eastAsia="仿宋_GB2312"/>
          <w:color w:val="000000"/>
          <w:sz w:val="32"/>
          <w:szCs w:val="32"/>
        </w:rPr>
        <w:t>）表</w:t>
      </w:r>
      <w:r>
        <w:rPr>
          <w:rFonts w:ascii="Times New Roman" w:hAnsi="Times New Roman" w:eastAsia="仿宋_GB2312"/>
          <w:color w:val="000000"/>
          <w:sz w:val="32"/>
          <w:szCs w:val="32"/>
        </w:rPr>
        <w:t>2</w:t>
      </w:r>
      <w:r>
        <w:rPr>
          <w:rFonts w:ascii="仿宋_GB2312" w:hAnsi="Times New Roman" w:eastAsia="仿宋_GB2312"/>
          <w:color w:val="000000"/>
          <w:sz w:val="32"/>
          <w:szCs w:val="32"/>
        </w:rPr>
        <w:t>无组织排放监控浓度限值标准；臭气浓度无组织排放执行《恶臭污染物排放标准》（</w:t>
      </w:r>
      <w:r>
        <w:rPr>
          <w:rFonts w:ascii="Times New Roman" w:hAnsi="Times New Roman" w:eastAsia="仿宋_GB2312"/>
          <w:color w:val="000000"/>
          <w:sz w:val="32"/>
          <w:szCs w:val="32"/>
        </w:rPr>
        <w:t>GB14554-93</w:t>
      </w:r>
      <w:r>
        <w:rPr>
          <w:rFonts w:ascii="仿宋_GB2312" w:hAnsi="Times New Roman" w:eastAsia="仿宋_GB2312"/>
          <w:color w:val="000000"/>
          <w:sz w:val="32"/>
          <w:szCs w:val="32"/>
        </w:rPr>
        <w:t>）表</w:t>
      </w:r>
      <w:r>
        <w:rPr>
          <w:rFonts w:ascii="Times New Roman" w:hAnsi="Times New Roman" w:eastAsia="仿宋_GB2312"/>
          <w:color w:val="000000"/>
          <w:sz w:val="32"/>
          <w:szCs w:val="32"/>
        </w:rPr>
        <w:t>1</w:t>
      </w:r>
      <w:r>
        <w:rPr>
          <w:rFonts w:ascii="仿宋_GB2312" w:hAnsi="Times New Roman" w:eastAsia="仿宋_GB2312"/>
          <w:color w:val="000000"/>
          <w:sz w:val="32"/>
          <w:szCs w:val="32"/>
        </w:rPr>
        <w:t>中二级新扩改建限值要求</w:t>
      </w:r>
      <w:r>
        <w:rPr>
          <w:rFonts w:ascii="仿宋_GB2312" w:hAnsi="Times New Roman" w:eastAsia="仿宋_GB2312"/>
          <w:sz w:val="32"/>
          <w:szCs w:val="32"/>
        </w:rPr>
        <w:t>。</w:t>
      </w:r>
    </w:p>
    <w:p>
      <w:pPr>
        <w:autoSpaceDE w:val="0"/>
        <w:spacing w:line="54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厂区内非甲烷总烃无组织排放执行《挥发性有机物无组织排放控制标准》（</w:t>
      </w:r>
      <w:r>
        <w:rPr>
          <w:rFonts w:ascii="Times New Roman" w:hAnsi="Times New Roman" w:eastAsia="仿宋_GB2312"/>
          <w:color w:val="000000"/>
          <w:sz w:val="32"/>
          <w:szCs w:val="32"/>
        </w:rPr>
        <w:t>GB37822-2019</w:t>
      </w:r>
      <w:r>
        <w:rPr>
          <w:rFonts w:ascii="仿宋_GB2312" w:hAnsi="Times New Roman" w:eastAsia="仿宋_GB2312"/>
          <w:color w:val="000000"/>
          <w:sz w:val="32"/>
          <w:szCs w:val="32"/>
        </w:rPr>
        <w:t>）中表</w:t>
      </w:r>
      <w:r>
        <w:rPr>
          <w:rFonts w:ascii="Times New Roman" w:hAnsi="Times New Roman" w:eastAsia="仿宋_GB2312"/>
          <w:color w:val="000000"/>
          <w:sz w:val="32"/>
          <w:szCs w:val="32"/>
        </w:rPr>
        <w:t>A.1</w:t>
      </w:r>
      <w:r>
        <w:rPr>
          <w:rFonts w:ascii="仿宋_GB2312" w:hAnsi="Times New Roman" w:eastAsia="仿宋_GB2312"/>
          <w:color w:val="000000"/>
          <w:sz w:val="32"/>
          <w:szCs w:val="32"/>
        </w:rPr>
        <w:t>的排放限值。</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施工期定期洒水抑尘、及时清理建筑垃圾，无组织颗粒物执行《大气污染物综合排放标准》（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无组织排放监控浓度限值。</w:t>
      </w:r>
    </w:p>
    <w:p>
      <w:pPr>
        <w:numPr>
          <w:ilvl w:val="0"/>
          <w:numId w:val="2"/>
        </w:num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严格落实噪声污染防治措施。</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项目运营期噪声采取厂房隔声降噪、对设备安装基础减震、进出车辆减速禁鸣等措施，厂界噪声执行《工业企业厂界环境噪声排放标准》（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w:t>
      </w:r>
      <w:r>
        <w:rPr>
          <w:rFonts w:ascii="Times New Roman" w:hAnsi="Times New Roman" w:eastAsia="仿宋_GB2312"/>
          <w:sz w:val="32"/>
          <w:szCs w:val="32"/>
        </w:rPr>
        <w:t>3</w:t>
      </w:r>
      <w:r>
        <w:rPr>
          <w:rFonts w:ascii="仿宋_GB2312" w:hAnsi="Times New Roman" w:eastAsia="仿宋_GB2312"/>
          <w:sz w:val="32"/>
          <w:szCs w:val="32"/>
        </w:rPr>
        <w:t>类区标准。</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施工期合理安排施工工序和时间，厂界噪声执行《建筑施工噪声排放标准》（</w:t>
      </w:r>
      <w:r>
        <w:rPr>
          <w:rFonts w:ascii="Times New Roman" w:hAnsi="Times New Roman" w:eastAsia="仿宋_GB2312"/>
          <w:sz w:val="32"/>
          <w:szCs w:val="32"/>
        </w:rPr>
        <w:t>GB12523-2025</w:t>
      </w:r>
      <w:r>
        <w:rPr>
          <w:rFonts w:ascii="仿宋_GB2312" w:hAnsi="Times New Roman" w:eastAsia="仿宋_GB2312"/>
          <w:sz w:val="32"/>
          <w:szCs w:val="32"/>
        </w:rPr>
        <w:t>）要求。</w:t>
      </w:r>
    </w:p>
    <w:p>
      <w:pPr>
        <w:numPr>
          <w:ilvl w:val="0"/>
          <w:numId w:val="3"/>
        </w:numPr>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原则，对固体废物进行分类规范收集，确保不造成二次污染。建立健全工业固体废物产生、收集、贮存、运输、利用、处置全过程的污染环境防治责任制度。</w:t>
      </w:r>
    </w:p>
    <w:p>
      <w:pPr>
        <w:adjustRightInd w:val="0"/>
        <w:snapToGrid w:val="0"/>
        <w:spacing w:line="540" w:lineRule="exact"/>
        <w:ind w:firstLine="640" w:firstLineChars="200"/>
        <w:outlineLvl w:val="2"/>
        <w:rPr>
          <w:rFonts w:ascii="Times New Roman" w:hAnsi="Times New Roman" w:eastAsia="仿宋_GB2312"/>
          <w:sz w:val="32"/>
          <w:szCs w:val="32"/>
        </w:rPr>
      </w:pPr>
      <w:r>
        <w:rPr>
          <w:rFonts w:ascii="仿宋_GB2312" w:hAnsi="Times New Roman" w:eastAsia="仿宋_GB2312"/>
          <w:sz w:val="32"/>
          <w:szCs w:val="32"/>
        </w:rPr>
        <w:t>项目运营期产生的生活垃圾、化粪池污泥定期委托环卫部门清运处置；隔油池废油定期委托有资质单位清掏清运；废包装袋、布袋除尘器收集的粉尘、车间沉降粉尘收集后定期外售废品回收企业；边角料收集后回用于生产。废润滑油、废活性炭、废弃润滑油桶等危险废物分类收集暂存于危险废物暂存间，定期委托有资质单位清运处置，严格执行《危险废物贮存污染控制标准》（</w:t>
      </w:r>
      <w:r>
        <w:rPr>
          <w:rFonts w:ascii="Times New Roman" w:hAnsi="Times New Roman" w:eastAsia="仿宋_GB2312"/>
          <w:sz w:val="32"/>
          <w:szCs w:val="32"/>
        </w:rPr>
        <w:t>GB18597-2023</w:t>
      </w:r>
      <w:r>
        <w:rPr>
          <w:rFonts w:ascii="仿宋_GB2312" w:hAnsi="Times New Roman" w:eastAsia="仿宋_GB2312"/>
          <w:sz w:val="32"/>
          <w:szCs w:val="32"/>
        </w:rPr>
        <w:t>）、《危险废物收集贮存运输技术规范》（</w:t>
      </w:r>
      <w:r>
        <w:rPr>
          <w:rFonts w:ascii="Times New Roman" w:hAnsi="Times New Roman" w:eastAsia="仿宋_GB2312"/>
          <w:sz w:val="32"/>
          <w:szCs w:val="32"/>
        </w:rPr>
        <w:t>HJ2025-2012</w:t>
      </w:r>
      <w:r>
        <w:rPr>
          <w:rFonts w:ascii="仿宋_GB2312" w:hAnsi="Times New Roman" w:eastAsia="仿宋_GB2312"/>
          <w:sz w:val="32"/>
          <w:szCs w:val="32"/>
        </w:rPr>
        <w:t>）。</w:t>
      </w:r>
    </w:p>
    <w:p>
      <w:pPr>
        <w:autoSpaceDE w:val="0"/>
        <w:autoSpaceDN w:val="0"/>
        <w:adjustRightInd w:val="0"/>
        <w:spacing w:line="540" w:lineRule="exact"/>
        <w:ind w:firstLine="640" w:firstLineChars="200"/>
        <w:jc w:val="left"/>
        <w:textAlignment w:val="baseline"/>
        <w:rPr>
          <w:rFonts w:ascii="Times New Roman" w:hAnsi="Times New Roman" w:eastAsia="仿宋_GB2312"/>
          <w:sz w:val="32"/>
          <w:szCs w:val="32"/>
        </w:rPr>
      </w:pPr>
      <w:r>
        <w:rPr>
          <w:rFonts w:ascii="仿宋_GB2312" w:hAnsi="Times New Roman" w:eastAsia="仿宋_GB2312"/>
          <w:kern w:val="0"/>
          <w:sz w:val="32"/>
          <w:szCs w:val="32"/>
        </w:rPr>
        <w:t>施工期生活垃圾统一收集后由环卫部门清运处置；废包装物收集后外售；建筑垃圾请回收商收购可回收利用的部分，不能回收利用的运至指定建筑垃圾堆放场处置</w:t>
      </w:r>
      <w:r>
        <w:rPr>
          <w:rFonts w:ascii="仿宋_GB2312" w:hAnsi="Times New Roman" w:eastAsia="仿宋_GB2312"/>
          <w:sz w:val="32"/>
          <w:szCs w:val="32"/>
        </w:rPr>
        <w:t>。</w:t>
      </w:r>
    </w:p>
    <w:p>
      <w:pPr>
        <w:autoSpaceDE w:val="0"/>
        <w:autoSpaceDN w:val="0"/>
        <w:adjustRightInd w:val="0"/>
        <w:spacing w:line="540" w:lineRule="exact"/>
        <w:ind w:firstLine="640" w:firstLineChars="200"/>
        <w:jc w:val="left"/>
        <w:textAlignment w:val="baseline"/>
        <w:rPr>
          <w:rFonts w:ascii="Times New Roman" w:hAnsi="Times New Roman" w:eastAsia="仿宋_GB2312"/>
          <w:kern w:val="0"/>
          <w:sz w:val="32"/>
          <w:szCs w:val="32"/>
        </w:rPr>
      </w:pPr>
      <w:r>
        <w:rPr>
          <w:rFonts w:ascii="仿宋_GB2312" w:hAnsi="Times New Roman" w:eastAsia="仿宋_GB2312"/>
          <w:sz w:val="32"/>
          <w:szCs w:val="32"/>
        </w:rPr>
        <w:t>（五）做好环境风险应急管理工作。严格执行《报告表》中风险影响评价中的各项防范措施，并建设相应的风险防范设施。制定突发环境事件应急预案并报市生态环境局富民分局备案。开</w:t>
      </w:r>
      <w:r>
        <w:rPr>
          <w:rFonts w:ascii="仿宋_GB2312" w:hAnsi="Times New Roman" w:eastAsia="仿宋_GB2312"/>
          <w:kern w:val="0"/>
          <w:sz w:val="32"/>
          <w:szCs w:val="32"/>
        </w:rPr>
        <w:t>展必要的应急培训、宣传和演练。</w:t>
      </w:r>
    </w:p>
    <w:p>
      <w:pPr>
        <w:adjustRightInd w:val="0"/>
        <w:snapToGrid w:val="0"/>
        <w:spacing w:line="540" w:lineRule="exact"/>
        <w:ind w:firstLine="640" w:firstLineChars="200"/>
        <w:outlineLvl w:val="2"/>
        <w:rPr>
          <w:rFonts w:ascii="Times New Roman" w:hAnsi="Times New Roman" w:eastAsia="仿宋_GB2312"/>
          <w:color w:val="FF0000"/>
          <w:sz w:val="32"/>
          <w:szCs w:val="32"/>
        </w:rPr>
      </w:pPr>
      <w:r>
        <w:rPr>
          <w:rFonts w:ascii="仿宋_GB2312" w:hAnsi="Times New Roman" w:eastAsia="仿宋_GB2312"/>
          <w:sz w:val="32"/>
          <w:szCs w:val="32"/>
        </w:rPr>
        <w:t>（六）污染物总量控制指标：非甲烷总烃</w:t>
      </w:r>
      <w:r>
        <w:rPr>
          <w:rFonts w:ascii="Times New Roman" w:hAnsi="Times New Roman" w:eastAsia="仿宋_GB2312"/>
          <w:sz w:val="32"/>
          <w:szCs w:val="32"/>
        </w:rPr>
        <w:t>1.7149t/a</w:t>
      </w:r>
      <w:r>
        <w:rPr>
          <w:rFonts w:ascii="仿宋_GB2312" w:hAnsi="Times New Roman" w:eastAsia="仿宋_GB2312"/>
          <w:sz w:val="32"/>
          <w:szCs w:val="32"/>
        </w:rPr>
        <w:t>、颗粒物</w:t>
      </w:r>
      <w:r>
        <w:rPr>
          <w:rFonts w:ascii="Times New Roman" w:hAnsi="Times New Roman" w:eastAsia="仿宋_GB2312"/>
          <w:sz w:val="32"/>
          <w:szCs w:val="32"/>
        </w:rPr>
        <w:t>0.2912t/a</w:t>
      </w:r>
      <w:r>
        <w:rPr>
          <w:rFonts w:ascii="仿宋_GB2312" w:hAnsi="Times New Roman" w:eastAsia="仿宋_GB2312"/>
          <w:sz w:val="32"/>
          <w:szCs w:val="32"/>
        </w:rPr>
        <w:t>、氯化氢</w:t>
      </w:r>
      <w:r>
        <w:rPr>
          <w:rFonts w:ascii="Times New Roman" w:hAnsi="Times New Roman" w:eastAsia="仿宋_GB2312"/>
          <w:sz w:val="32"/>
          <w:szCs w:val="32"/>
        </w:rPr>
        <w:t>0.000273t/a</w:t>
      </w:r>
      <w:r>
        <w:rPr>
          <w:rFonts w:ascii="仿宋_GB2312" w:hAnsi="Times New Roman" w:eastAsia="仿宋_GB2312"/>
          <w:sz w:val="32"/>
          <w:szCs w:val="32"/>
        </w:rPr>
        <w:t>、氯乙烯</w:t>
      </w:r>
      <w:r>
        <w:rPr>
          <w:rFonts w:ascii="Times New Roman" w:hAnsi="Times New Roman" w:eastAsia="仿宋_GB2312"/>
          <w:sz w:val="32"/>
          <w:szCs w:val="32"/>
        </w:rPr>
        <w:t>0.00004t/a</w:t>
      </w:r>
      <w:r>
        <w:rPr>
          <w:rFonts w:ascii="仿宋_GB2312" w:hAnsi="Times New Roman" w:eastAsia="仿宋_GB2312"/>
          <w:sz w:val="32"/>
          <w:szCs w:val="32"/>
        </w:rPr>
        <w:t>。非甲烷总烃总量</w:t>
      </w:r>
      <w:r>
        <w:rPr>
          <w:rFonts w:ascii="Times New Roman" w:hAnsi="Times New Roman" w:eastAsia="仿宋_GB2312"/>
          <w:sz w:val="32"/>
          <w:szCs w:val="32"/>
        </w:rPr>
        <w:t>1.7149t/a</w:t>
      </w:r>
      <w:r>
        <w:rPr>
          <w:rFonts w:ascii="仿宋_GB2312" w:hAnsi="Times New Roman" w:eastAsia="仿宋_GB2312"/>
          <w:sz w:val="32"/>
          <w:szCs w:val="32"/>
        </w:rPr>
        <w:t>指标来源于《富民县区域主要污染物削减方案》中昆明淦鑫钢模制造有限公司的工程削减量。</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（七）按照《排污许可管理条例》相关规定，纳入固定污染源排污许可管理的，需在项目启动生产设施或发生实际排污前，依法取得排污许可手续。</w:t>
      </w:r>
    </w:p>
    <w:p>
      <w:pPr>
        <w:autoSpaceDE w:val="0"/>
        <w:spacing w:line="540" w:lineRule="exact"/>
        <w:ind w:firstLine="640" w:firstLineChars="200"/>
        <w:rPr>
          <w:rFonts w:ascii="Times New Roman" w:hAnsi="Times New Roman" w:eastAsia="仿宋_GB2312"/>
          <w:spacing w:val="-6"/>
          <w:sz w:val="32"/>
          <w:szCs w:val="32"/>
        </w:rPr>
      </w:pPr>
      <w:r>
        <w:rPr>
          <w:rFonts w:ascii="仿宋_GB2312" w:hAnsi="Times New Roman" w:eastAsia="仿宋_GB2312"/>
          <w:sz w:val="32"/>
          <w:szCs w:val="32"/>
        </w:rPr>
        <w:t>（八）认真组织实施《报告表》提出的环境监测计划，定期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项目建成调试后，按规定自主开展竣工环保验收，经验收合格后方可正式投入运行。</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定该项目开工建设的，环境影响评价文件应当报我局重新审核。</w:t>
      </w:r>
    </w:p>
    <w:p>
      <w:pPr>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五、你单位应按规定接受各级生态环境主管部门的监督检查。请市生态环境局富民分局负责组织项目环境现场执法和日常监督管理，请市生态环境保护综合行政执法支队加强监督检查。</w:t>
      </w:r>
    </w:p>
    <w:p>
      <w:pPr>
        <w:autoSpaceDE w:val="0"/>
        <w:autoSpaceDN w:val="0"/>
        <w:adjustRightInd w:val="0"/>
        <w:spacing w:line="540" w:lineRule="exact"/>
        <w:ind w:firstLine="640" w:firstLineChars="200"/>
        <w:jc w:val="left"/>
        <w:textAlignment w:val="baseline"/>
        <w:rPr>
          <w:rFonts w:ascii="Times New Roman" w:hAnsi="Times New Roman" w:eastAsia="仿宋_GB2312"/>
          <w:kern w:val="0"/>
          <w:sz w:val="32"/>
          <w:szCs w:val="32"/>
        </w:rPr>
      </w:pPr>
      <w:r>
        <w:rPr>
          <w:rFonts w:ascii="仿宋_GB2312" w:hAnsi="Times New Roman" w:eastAsia="仿宋_GB2312"/>
          <w:kern w:val="0"/>
          <w:sz w:val="32"/>
          <w:szCs w:val="32"/>
        </w:rPr>
        <w:t>六、依法到其他部门办理相关手续。</w:t>
      </w:r>
    </w:p>
    <w:p>
      <w:pPr>
        <w:spacing w:line="540" w:lineRule="exact"/>
        <w:ind w:left="1105" w:leftChars="450" w:hanging="160" w:hangingChars="50"/>
        <w:rPr>
          <w:rFonts w:hint="eastAsia" w:ascii="Times New Roman" w:hAnsi="Times New Roman" w:eastAsia="仿宋_GB2312"/>
          <w:sz w:val="32"/>
          <w:szCs w:val="32"/>
        </w:rPr>
      </w:pPr>
      <w:r>
        <w:rPr>
          <w:rFonts w:ascii="Times New Roman" w:hAnsi="Times New Roman" w:eastAsia="仿宋_GB2312"/>
          <w:sz w:val="32"/>
          <w:szCs w:val="32"/>
        </w:rPr>
        <w:t xml:space="preserve">                      </w:t>
      </w:r>
    </w:p>
    <w:p>
      <w:pPr>
        <w:spacing w:line="540" w:lineRule="exact"/>
        <w:ind w:left="1105" w:leftChars="450" w:hanging="160" w:hangingChars="50"/>
        <w:rPr>
          <w:rFonts w:hint="eastAsia" w:ascii="Times New Roman" w:hAnsi="Times New Roman" w:eastAsia="仿宋_GB2312"/>
          <w:sz w:val="32"/>
          <w:szCs w:val="32"/>
        </w:rPr>
      </w:pPr>
    </w:p>
    <w:p>
      <w:pPr>
        <w:spacing w:line="540" w:lineRule="exact"/>
        <w:ind w:left="1105" w:leftChars="450" w:hanging="160" w:hangingChars="50"/>
        <w:rPr>
          <w:rFonts w:ascii="Times New Roman" w:hAnsi="Times New Roman" w:eastAsia="仿宋_GB2312"/>
          <w:sz w:val="32"/>
          <w:szCs w:val="32"/>
        </w:rPr>
      </w:pPr>
    </w:p>
    <w:p>
      <w:pPr>
        <w:adjustRightInd w:val="0"/>
        <w:snapToGrid w:val="0"/>
        <w:spacing w:line="54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 xml:space="preserve"> </w:t>
      </w:r>
    </w:p>
    <w:p>
      <w:pPr>
        <w:adjustRightInd w:val="0"/>
        <w:snapToGrid w:val="0"/>
        <w:spacing w:line="54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 xml:space="preserve">                             2026</w:t>
      </w:r>
      <w:r>
        <w:rPr>
          <w:rFonts w:ascii="仿宋_GB2312" w:hAnsi="Times New Roman" w:eastAsia="仿宋_GB2312"/>
          <w:sz w:val="32"/>
          <w:szCs w:val="32"/>
        </w:rPr>
        <w:t>年</w:t>
      </w:r>
      <w:r>
        <w:rPr>
          <w:rFonts w:ascii="Times New Roman" w:hAnsi="Times New Roman" w:eastAsia="仿宋_GB2312"/>
          <w:sz w:val="32"/>
          <w:szCs w:val="32"/>
        </w:rPr>
        <w:t>1</w:t>
      </w:r>
      <w:r>
        <w:rPr>
          <w:rFonts w:ascii="仿宋_GB2312" w:hAnsi="Times New Roman" w:eastAsia="仿宋_GB2312"/>
          <w:sz w:val="32"/>
          <w:szCs w:val="32"/>
        </w:rPr>
        <w:t>月</w:t>
      </w:r>
      <w:r>
        <w:rPr>
          <w:rFonts w:hint="eastAsia" w:ascii="Times New Roman" w:hAnsi="Times New Roman" w:eastAsia="仿宋_GB2312"/>
          <w:sz w:val="32"/>
          <w:szCs w:val="32"/>
        </w:rPr>
        <w:t>30</w:t>
      </w:r>
      <w:r>
        <w:rPr>
          <w:rFonts w:ascii="仿宋_GB2312" w:hAnsi="Times New Roman" w:eastAsia="仿宋_GB2312"/>
          <w:sz w:val="32"/>
          <w:szCs w:val="32"/>
        </w:rPr>
        <w:t>日</w:t>
      </w:r>
    </w:p>
    <w:p>
      <w:pPr>
        <w:rPr>
          <w:rFonts w:ascii="仿宋_GB2312" w:hAnsi="Times New Roman" w:eastAsia="仿宋_GB2312"/>
          <w:sz w:val="32"/>
          <w:szCs w:val="32"/>
        </w:rPr>
      </w:pPr>
      <w:r>
        <w:rPr>
          <w:rFonts w:hint="eastAsia" w:ascii="仿宋_GB2312" w:hAnsi="Times New Roman" w:eastAsia="仿宋_GB2312"/>
          <w:sz w:val="32"/>
          <w:szCs w:val="32"/>
        </w:rPr>
        <w:t xml:space="preserve"> </w:t>
      </w:r>
    </w:p>
    <w:p>
      <w:pPr>
        <w:spacing w:before="100" w:beforeAutospacing="1"/>
        <w:ind w:firstLine="320" w:firstLineChars="100"/>
        <w:rPr>
          <w:rFonts w:hint="eastAsia" w:ascii="仿宋_GB2312" w:hAnsi="仿宋_GB2312" w:cs="仿宋_GB2312"/>
          <w:sz w:val="32"/>
          <w:szCs w:val="32"/>
        </w:rPr>
      </w:pPr>
      <w:r>
        <w:rPr>
          <w:rFonts w:hint="eastAsia" w:ascii="仿宋_GB2312" w:hAnsi="仿宋_GB2312" w:cs="仿宋_GB2312"/>
          <w:sz w:val="32"/>
          <w:szCs w:val="32"/>
        </w:rPr>
        <w:t xml:space="preserve"> </w:t>
      </w:r>
    </w:p>
    <w:p>
      <w:pPr>
        <w:rPr>
          <w:rFonts w:hint="eastAsia"/>
          <w:szCs w:val="21"/>
        </w:rPr>
      </w:pPr>
      <w:r>
        <w:rPr>
          <w:szCs w:val="21"/>
        </w:rPr>
        <w:t xml:space="preserve"> </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spacing w:line="300" w:lineRule="exact"/>
        <w:rPr>
          <w:rFonts w:eastAsia="仿宋_GB2312"/>
          <w:sz w:val="32"/>
          <w:szCs w:val="32"/>
        </w:rPr>
      </w:pPr>
      <w:r>
        <w:rPr>
          <w:sz w:val="32"/>
          <w:szCs w:val="32"/>
          <w:lang/>
        </w:rPr>
        <w:pict>
          <v:shape id="_x0000_i1025" o:spt="75" alt="C:\Users\Lenovo\AppData\Local\Temp\ksohtml8496\wps4.png" type="#_x0000_t75" style="height:0.75pt;width:437.95pt;" filled="f" stroked="f" coordsize="21600,21600">
            <v:path/>
            <v:fill on="f" focussize="0,0"/>
            <v:stroke on="f"/>
            <v:imagedata r:id="rId6" grayscale="f" bilevel="f" o:title="wps4"/>
            <o:lock v:ext="edit" aspectratio="t"/>
            <w10:wrap type="none"/>
            <w10:anchorlock/>
          </v:shape>
        </w:pict>
      </w:r>
    </w:p>
    <w:p>
      <w:pPr>
        <w:autoSpaceDE w:val="0"/>
        <w:spacing w:line="300" w:lineRule="exact"/>
        <w:ind w:left="560" w:hanging="560" w:hangingChars="200"/>
        <w:jc w:val="left"/>
        <w:rPr>
          <w:rFonts w:eastAsia="仿宋_GB2312"/>
          <w:sz w:val="28"/>
          <w:szCs w:val="28"/>
        </w:rPr>
      </w:pPr>
      <w:r>
        <w:rPr>
          <w:rFonts w:hint="eastAsia" w:ascii="仿宋_GB2312" w:hAnsi="Times New Roman" w:eastAsia="仿宋_GB2312"/>
          <w:sz w:val="28"/>
          <w:szCs w:val="28"/>
        </w:rPr>
        <w:t>抄送：云南省生态环境厅。市生态环境局富民分局，局机关各处室、各直属单位。云南江楚环保科技有限公司。</w:t>
      </w:r>
    </w:p>
    <w:p>
      <w:pPr>
        <w:spacing w:line="300" w:lineRule="exact"/>
        <w:rPr>
          <w:rFonts w:hint="eastAsia" w:ascii="仿宋_GB2312" w:hAnsi="Times New Roman" w:eastAsia="仿宋_GB2312"/>
          <w:sz w:val="28"/>
          <w:szCs w:val="28"/>
        </w:rPr>
      </w:pPr>
      <w:r>
        <w:rPr>
          <w:szCs w:val="21"/>
          <w:lang/>
        </w:rPr>
        <w:pict>
          <v:shape id="_x0000_i1026" o:spt="75" alt="C:\Users\Lenovo\AppData\Local\Temp\ksohtml8496\wps5.png" type="#_x0000_t75" style="height:1.5pt;width:437.95pt;" filled="f" stroked="f" coordsize="21600,21600">
            <v:path/>
            <v:fill on="f" focussize="0,0"/>
            <v:stroke on="f"/>
            <v:imagedata r:id="rId7" grayscale="f" bilevel="f" o:title="wps5"/>
            <o:lock v:ext="edit" aspectratio="t"/>
            <w10:wrap type="none"/>
            <w10:anchorlock/>
          </v:shape>
        </w:pict>
      </w:r>
      <w:r>
        <w:rPr>
          <w:rFonts w:hint="eastAsia" w:ascii="仿宋_GB2312" w:hAnsi="Times New Roman" w:eastAsia="仿宋_GB2312"/>
          <w:sz w:val="28"/>
          <w:szCs w:val="28"/>
        </w:rPr>
        <w:t>昆明市生态环境局办公室</w:t>
      </w:r>
      <w:r>
        <w:rPr>
          <w:rFonts w:hint="eastAsia" w:ascii="Times New Roman" w:hAnsi="Times New Roman" w:eastAsia="仿宋_GB2312"/>
          <w:sz w:val="28"/>
          <w:szCs w:val="28"/>
        </w:rPr>
        <w:t xml:space="preserve">                  2026</w:t>
      </w:r>
      <w:r>
        <w:rPr>
          <w:rFonts w:hint="eastAsia" w:ascii="仿宋_GB2312" w:hAnsi="Times New Roman" w:eastAsia="仿宋_GB2312"/>
          <w:sz w:val="28"/>
          <w:szCs w:val="28"/>
        </w:rPr>
        <w:t>年</w:t>
      </w:r>
      <w:r>
        <w:rPr>
          <w:rFonts w:hint="eastAsia" w:ascii="Times New Roman" w:hAnsi="Times New Roman" w:eastAsia="仿宋_GB2312"/>
          <w:sz w:val="28"/>
          <w:szCs w:val="28"/>
        </w:rPr>
        <w:t>1</w:t>
      </w:r>
      <w:r>
        <w:rPr>
          <w:rFonts w:hint="eastAsia" w:ascii="仿宋_GB2312" w:hAnsi="Times New Roman" w:eastAsia="仿宋_GB2312"/>
          <w:sz w:val="28"/>
          <w:szCs w:val="28"/>
        </w:rPr>
        <w:t>月</w:t>
      </w:r>
      <w:r>
        <w:rPr>
          <w:rFonts w:hint="eastAsia" w:ascii="Times New Roman" w:hAnsi="Times New Roman" w:eastAsia="仿宋_GB2312"/>
          <w:sz w:val="28"/>
          <w:szCs w:val="28"/>
        </w:rPr>
        <w:t>30</w:t>
      </w:r>
      <w:r>
        <w:rPr>
          <w:rFonts w:hint="eastAsia" w:ascii="仿宋_GB2312" w:hAnsi="Times New Roman" w:eastAsia="仿宋_GB2312"/>
          <w:sz w:val="28"/>
          <w:szCs w:val="28"/>
        </w:rPr>
        <w:t>日印发</w:t>
      </w:r>
    </w:p>
    <w:p>
      <w:pPr>
        <w:spacing w:line="300" w:lineRule="exact"/>
        <w:rPr>
          <w:sz w:val="28"/>
          <w:szCs w:val="28"/>
        </w:rPr>
      </w:pPr>
      <w:r>
        <w:rPr>
          <w:szCs w:val="21"/>
          <w:lang/>
        </w:rPr>
        <w:pict>
          <v:shape id="_x0000_i1027" o:spt="75" alt="C:\Users\Lenovo\AppData\Local\Temp\ksohtml8496\wps5.png" type="#_x0000_t75" style="height:1.45pt;width:430.5pt;" filled="f" stroked="f" coordsize="21600,21600">
            <v:path/>
            <v:fill on="f" focussize="0,0"/>
            <v:stroke on="f"/>
            <v:imagedata r:id="rId7" grayscale="f" bilevel="f" o:title="wps5"/>
            <o:lock v:ext="edit" aspectratio="t"/>
            <w10:wrap type="none"/>
            <w10:anchorlock/>
          </v:shape>
        </w:pic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30B13"/>
    <w:multiLevelType w:val="multilevel"/>
    <w:tmpl w:val="2BC30B13"/>
    <w:lvl w:ilvl="0" w:tentative="0">
      <w:start w:val="4"/>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D4477E3"/>
    <w:multiLevelType w:val="multilevel"/>
    <w:tmpl w:val="4D4477E3"/>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BC671F8"/>
    <w:multiLevelType w:val="multilevel"/>
    <w:tmpl w:val="5BC671F8"/>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5B67"/>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42DD"/>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5FF"/>
    <w:rsid w:val="005B0945"/>
    <w:rsid w:val="005B0B04"/>
    <w:rsid w:val="005B136D"/>
    <w:rsid w:val="005B22E6"/>
    <w:rsid w:val="005B2462"/>
    <w:rsid w:val="005B2A05"/>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688B"/>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47C4"/>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82C"/>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1EB9"/>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4421"/>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365F"/>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76B59"/>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07C5"/>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54A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8EA"/>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6AB"/>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A3341"/>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71310"/>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02321"/>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2026-02-02T01:35:00Z</dcterms:created>
  <dc:creator>李敏</dc:creator>
  <cp:lastModifiedBy>李敏</cp:lastModifiedBy>
  <dcterms:modified xsi:type="dcterms:W3CDTF">2026-02-02T07:01:21Z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