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1</w:t>
      </w:r>
      <w:r>
        <w:rPr>
          <w:rFonts w:ascii="Times New Roman" w:hAnsi="Times New Roman" w:eastAsia="仿宋_GB2312"/>
          <w:color w:val="000000"/>
          <w:sz w:val="32"/>
        </w:rPr>
        <w:t>-</w:t>
      </w:r>
      <w:r>
        <w:rPr>
          <w:rFonts w:hint="eastAsia" w:ascii="Times New Roman" w:hAnsi="Times New Roman" w:eastAsia="仿宋_GB2312"/>
          <w:color w:val="000000"/>
          <w:sz w:val="32"/>
        </w:rPr>
        <w:t>9</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rPr>
          <w:rFonts w:hint="eastAsia" w:ascii="方正小标宋_GBK" w:hAnsi="方正小标宋_GBK" w:eastAsia="方正小标宋_GBK"/>
          <w:kern w:val="0"/>
          <w:sz w:val="44"/>
          <w:szCs w:val="44"/>
        </w:rPr>
      </w:pPr>
      <w:r>
        <w:rPr>
          <w:rFonts w:ascii="方正小标宋_GBK" w:hAnsi="方正小标宋_GBK" w:eastAsia="方正小标宋_GBK"/>
          <w:spacing w:val="-4"/>
          <w:sz w:val="44"/>
          <w:szCs w:val="44"/>
        </w:rPr>
        <w:t>昆明市生态环境局关于《</w:t>
      </w:r>
      <w:r>
        <w:rPr>
          <w:rFonts w:ascii="方正小标宋_GBK" w:hAnsi="方正小标宋_GBK" w:eastAsia="方正小标宋_GBK"/>
          <w:kern w:val="0"/>
          <w:sz w:val="44"/>
          <w:szCs w:val="44"/>
        </w:rPr>
        <w:t>矿山及钛选厂</w:t>
      </w:r>
    </w:p>
    <w:p>
      <w:pPr>
        <w:spacing w:line="700" w:lineRule="exact"/>
        <w:jc w:val="center"/>
        <w:rPr>
          <w:rFonts w:ascii="Times New Roman" w:hAnsi="Times New Roman" w:eastAsia="方正小标宋_GBK"/>
          <w:spacing w:val="-4"/>
          <w:sz w:val="44"/>
          <w:szCs w:val="44"/>
        </w:rPr>
      </w:pPr>
      <w:r>
        <w:rPr>
          <w:rFonts w:ascii="方正小标宋_GBK" w:hAnsi="方正小标宋_GBK" w:eastAsia="方正小标宋_GBK"/>
          <w:kern w:val="0"/>
          <w:sz w:val="44"/>
          <w:szCs w:val="44"/>
        </w:rPr>
        <w:t>建设项目环境影响报告书</w:t>
      </w:r>
      <w:r>
        <w:rPr>
          <w:rFonts w:ascii="方正小标宋_GBK" w:hAnsi="方正小标宋_GBK" w:eastAsia="方正小标宋_GBK"/>
          <w:spacing w:val="-4"/>
          <w:sz w:val="44"/>
          <w:szCs w:val="44"/>
        </w:rPr>
        <w:t>》的批复</w:t>
      </w:r>
    </w:p>
    <w:p>
      <w:pPr>
        <w:spacing w:line="700" w:lineRule="exact"/>
        <w:rPr>
          <w:rFonts w:ascii="Times New Roman" w:hAnsi="Times New Roman"/>
          <w:sz w:val="32"/>
          <w:szCs w:val="32"/>
        </w:rPr>
      </w:pPr>
      <w:r>
        <w:rPr>
          <w:rFonts w:ascii="Times New Roman" w:hAnsi="Times New Roman"/>
          <w:sz w:val="32"/>
          <w:szCs w:val="32"/>
        </w:rPr>
        <w:t xml:space="preserve"> </w:t>
      </w:r>
    </w:p>
    <w:p>
      <w:pPr>
        <w:autoSpaceDE w:val="0"/>
        <w:spacing w:line="500" w:lineRule="exact"/>
        <w:rPr>
          <w:rFonts w:ascii="Times New Roman" w:hAnsi="Times New Roman" w:eastAsia="仿宋_GB2312"/>
          <w:sz w:val="32"/>
          <w:szCs w:val="32"/>
        </w:rPr>
      </w:pPr>
      <w:r>
        <w:rPr>
          <w:rFonts w:ascii="仿宋_GB2312" w:hAnsi="Times New Roman" w:eastAsia="仿宋_GB2312"/>
          <w:sz w:val="32"/>
          <w:szCs w:val="32"/>
        </w:rPr>
        <w:t>云南沣泽矿业有限公司：</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你单位委托云南湖柏环保科技有限公司编制的《矿山及钛选厂建设项目环境影响报告书》（以下简称《报告书》，项目代码：</w:t>
      </w:r>
      <w:r>
        <w:rPr>
          <w:rFonts w:ascii="Times New Roman" w:hAnsi="Times New Roman" w:eastAsia="仿宋_GB2312"/>
          <w:sz w:val="32"/>
          <w:szCs w:val="32"/>
        </w:rPr>
        <w:t>2405-530124-04-01-793166</w:t>
      </w:r>
      <w:r>
        <w:rPr>
          <w:rFonts w:ascii="仿宋_GB2312" w:hAnsi="Times New Roman" w:eastAsia="仿宋_GB2312"/>
          <w:sz w:val="32"/>
          <w:szCs w:val="32"/>
        </w:rPr>
        <w:t>）收悉。根据《中华人民共和国环境影响评价法》第二十二条、《建设项目环境保护管理条例》第九条规定，经研究，批复如下：</w:t>
      </w:r>
    </w:p>
    <w:p>
      <w:pPr>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sz w:val="32"/>
          <w:szCs w:val="32"/>
        </w:rPr>
        <w:t>一、项目建设地点位于</w:t>
      </w:r>
      <w:r>
        <w:rPr>
          <w:rFonts w:ascii="仿宋_GB2312" w:hAnsi="Times New Roman" w:eastAsia="仿宋_GB2312"/>
          <w:kern w:val="0"/>
          <w:sz w:val="32"/>
          <w:szCs w:val="32"/>
        </w:rPr>
        <w:t>云南省昆明市富民县款庄镇青华村委会大凹村</w:t>
      </w:r>
      <w:r>
        <w:rPr>
          <w:rFonts w:ascii="仿宋_GB2312" w:hAnsi="Times New Roman" w:eastAsia="仿宋_GB2312"/>
          <w:sz w:val="32"/>
          <w:szCs w:val="32"/>
        </w:rPr>
        <w:t>，</w:t>
      </w:r>
      <w:r>
        <w:rPr>
          <w:rFonts w:ascii="仿宋_GB2312" w:hAnsi="Times New Roman" w:eastAsia="仿宋_GB2312"/>
          <w:kern w:val="0"/>
          <w:sz w:val="32"/>
          <w:szCs w:val="32"/>
        </w:rPr>
        <w:t>项目开采方式为露天开采，矿山年开采规模为</w:t>
      </w:r>
      <w:r>
        <w:rPr>
          <w:rFonts w:ascii="Times New Roman" w:hAnsi="Times New Roman" w:eastAsia="仿宋_GB2312"/>
          <w:kern w:val="0"/>
          <w:sz w:val="32"/>
          <w:szCs w:val="32"/>
        </w:rPr>
        <w:t>7</w:t>
      </w:r>
      <w:r>
        <w:rPr>
          <w:rFonts w:ascii="仿宋_GB2312" w:hAnsi="Times New Roman" w:eastAsia="仿宋_GB2312"/>
          <w:kern w:val="0"/>
          <w:sz w:val="32"/>
          <w:szCs w:val="32"/>
        </w:rPr>
        <w:t>万</w:t>
      </w:r>
      <w:r>
        <w:rPr>
          <w:rFonts w:ascii="Times New Roman" w:hAnsi="Times New Roman" w:eastAsia="仿宋_GB2312"/>
          <w:kern w:val="0"/>
          <w:sz w:val="32"/>
          <w:szCs w:val="32"/>
        </w:rPr>
        <w:t>m</w:t>
      </w:r>
      <w:r>
        <w:rPr>
          <w:rFonts w:ascii="Times New Roman" w:hAnsi="Times New Roman" w:eastAsia="仿宋_GB2312"/>
          <w:kern w:val="0"/>
          <w:sz w:val="32"/>
          <w:szCs w:val="32"/>
          <w:vertAlign w:val="superscript"/>
        </w:rPr>
        <w:t>3</w:t>
      </w:r>
      <w:r>
        <w:rPr>
          <w:rFonts w:ascii="Times New Roman" w:hAnsi="Times New Roman" w:eastAsia="仿宋_GB2312"/>
          <w:kern w:val="0"/>
          <w:sz w:val="32"/>
          <w:szCs w:val="32"/>
        </w:rPr>
        <w:t>/a</w:t>
      </w:r>
      <w:r>
        <w:rPr>
          <w:rFonts w:ascii="仿宋_GB2312" w:hAnsi="Times New Roman" w:eastAsia="仿宋_GB2312"/>
          <w:kern w:val="0"/>
          <w:sz w:val="32"/>
          <w:szCs w:val="32"/>
        </w:rPr>
        <w:t>（</w:t>
      </w:r>
      <w:r>
        <w:rPr>
          <w:rFonts w:ascii="Times New Roman" w:hAnsi="Times New Roman" w:eastAsia="仿宋_GB2312"/>
          <w:kern w:val="0"/>
          <w:sz w:val="32"/>
          <w:szCs w:val="32"/>
        </w:rPr>
        <w:t>12</w:t>
      </w:r>
      <w:r>
        <w:rPr>
          <w:rFonts w:ascii="仿宋_GB2312" w:hAnsi="Times New Roman" w:eastAsia="仿宋_GB2312"/>
          <w:kern w:val="0"/>
          <w:sz w:val="32"/>
          <w:szCs w:val="32"/>
        </w:rPr>
        <w:t>万</w:t>
      </w:r>
      <w:r>
        <w:rPr>
          <w:rFonts w:ascii="Times New Roman" w:hAnsi="Times New Roman" w:eastAsia="仿宋_GB2312"/>
          <w:kern w:val="0"/>
          <w:sz w:val="32"/>
          <w:szCs w:val="32"/>
        </w:rPr>
        <w:t>t/a</w:t>
      </w:r>
      <w:r>
        <w:rPr>
          <w:rFonts w:ascii="仿宋_GB2312" w:hAnsi="Times New Roman" w:eastAsia="仿宋_GB2312"/>
          <w:kern w:val="0"/>
          <w:sz w:val="32"/>
          <w:szCs w:val="32"/>
        </w:rPr>
        <w:t>），选矿厂配套生产规模为</w:t>
      </w:r>
      <w:r>
        <w:rPr>
          <w:rFonts w:ascii="Times New Roman" w:hAnsi="Times New Roman" w:eastAsia="仿宋_GB2312"/>
          <w:kern w:val="0"/>
          <w:sz w:val="32"/>
          <w:szCs w:val="32"/>
        </w:rPr>
        <w:t>600t/d</w:t>
      </w:r>
      <w:r>
        <w:rPr>
          <w:rFonts w:ascii="仿宋_GB2312" w:hAnsi="Times New Roman" w:eastAsia="仿宋_GB2312"/>
          <w:kern w:val="0"/>
          <w:sz w:val="32"/>
          <w:szCs w:val="32"/>
        </w:rPr>
        <w:t>。年产钛精矿</w:t>
      </w:r>
      <w:r>
        <w:rPr>
          <w:rFonts w:ascii="Times New Roman" w:hAnsi="Times New Roman" w:eastAsia="仿宋_GB2312"/>
          <w:kern w:val="0"/>
          <w:sz w:val="32"/>
          <w:szCs w:val="32"/>
        </w:rPr>
        <w:t>14400t</w:t>
      </w:r>
      <w:r>
        <w:rPr>
          <w:rFonts w:ascii="仿宋_GB2312" w:hAnsi="Times New Roman" w:eastAsia="仿宋_GB2312"/>
          <w:kern w:val="0"/>
          <w:sz w:val="32"/>
          <w:szCs w:val="32"/>
        </w:rPr>
        <w:t>、铁精矿</w:t>
      </w:r>
      <w:r>
        <w:rPr>
          <w:rFonts w:ascii="Times New Roman" w:hAnsi="Times New Roman" w:eastAsia="仿宋_GB2312"/>
          <w:kern w:val="0"/>
          <w:sz w:val="32"/>
          <w:szCs w:val="32"/>
        </w:rPr>
        <w:t>2400t</w:t>
      </w:r>
      <w:r>
        <w:rPr>
          <w:rFonts w:ascii="仿宋_GB2312" w:hAnsi="Times New Roman" w:eastAsia="仿宋_GB2312"/>
          <w:kern w:val="0"/>
          <w:sz w:val="32"/>
          <w:szCs w:val="32"/>
        </w:rPr>
        <w:t>。</w:t>
      </w:r>
    </w:p>
    <w:p>
      <w:pPr>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项目总投资</w:t>
      </w:r>
      <w:r>
        <w:rPr>
          <w:rFonts w:ascii="Times New Roman" w:hAnsi="Times New Roman" w:eastAsia="仿宋_GB2312"/>
          <w:kern w:val="0"/>
          <w:sz w:val="32"/>
          <w:szCs w:val="32"/>
        </w:rPr>
        <w:t>4000</w:t>
      </w:r>
      <w:r>
        <w:rPr>
          <w:rFonts w:ascii="仿宋_GB2312" w:hAnsi="Times New Roman" w:eastAsia="仿宋_GB2312"/>
          <w:kern w:val="0"/>
          <w:sz w:val="32"/>
          <w:szCs w:val="32"/>
        </w:rPr>
        <w:t>万元，其中环保投资</w:t>
      </w:r>
      <w:r>
        <w:rPr>
          <w:rFonts w:ascii="Times New Roman" w:hAnsi="Times New Roman" w:eastAsia="仿宋_GB2312"/>
          <w:kern w:val="0"/>
          <w:sz w:val="32"/>
          <w:szCs w:val="32"/>
        </w:rPr>
        <w:t>350</w:t>
      </w:r>
      <w:r>
        <w:rPr>
          <w:rFonts w:ascii="仿宋_GB2312" w:hAnsi="Times New Roman" w:eastAsia="仿宋_GB2312"/>
          <w:kern w:val="0"/>
          <w:sz w:val="32"/>
          <w:szCs w:val="32"/>
        </w:rPr>
        <w:t>万元。</w:t>
      </w:r>
    </w:p>
    <w:p>
      <w:pPr>
        <w:autoSpaceDE w:val="0"/>
        <w:spacing w:line="500" w:lineRule="exact"/>
        <w:ind w:firstLine="640" w:firstLineChars="200"/>
        <w:rPr>
          <w:rFonts w:ascii="Times New Roman" w:hAnsi="Times New Roman" w:eastAsia="仿宋_GB2312"/>
          <w:spacing w:val="-6"/>
          <w:kern w:val="0"/>
          <w:sz w:val="32"/>
          <w:szCs w:val="32"/>
        </w:rPr>
      </w:pPr>
      <w:r>
        <w:rPr>
          <w:rFonts w:ascii="仿宋_GB2312" w:hAnsi="Times New Roman" w:eastAsia="仿宋_GB2312"/>
          <w:kern w:val="0"/>
          <w:sz w:val="32"/>
          <w:szCs w:val="32"/>
        </w:rPr>
        <w:t>项目擅自开工建设，违反了《中华人民共和国环境影响评价</w:t>
      </w:r>
      <w:r>
        <w:rPr>
          <w:rFonts w:ascii="仿宋_GB2312" w:hAnsi="Times New Roman" w:eastAsia="仿宋_GB2312"/>
          <w:spacing w:val="-6"/>
          <w:kern w:val="0"/>
          <w:sz w:val="32"/>
          <w:szCs w:val="32"/>
        </w:rPr>
        <w:t>法》的有关规定，违法行为已交由昆明市生态环境局富民分局查处。</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依据昆明市生态环境工程评估中心出具的《关于对〈矿山及钛选厂建设项目环境影响报告书〉的技术评估意见》（昆环评估意见〔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1-4</w:t>
      </w:r>
      <w:r>
        <w:rPr>
          <w:rFonts w:ascii="仿宋_GB2312" w:hAnsi="Times New Roman" w:eastAsia="仿宋_GB2312"/>
          <w:sz w:val="32"/>
          <w:szCs w:val="32"/>
        </w:rPr>
        <w:t>号），在全面落实《报告书》提出的各项生态保护和污染防治措施后，项目建设和运营的不良环境影响可以得到缓解和控制，同意你单位按《报告书》所述工程内容、规模、功能及环保对策措施开展建设。</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二、项目建设及运营期需重点做好以下工作：</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（一）严格按照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widowControl/>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项目运营期各采场淋滤水、选矿废水经处理后回用于原矿造浆；机修废水经机修隔油池预处理、生活污水经食堂隔油池与化粪池预处理后，共同进入一体化污水处理设施处理，出水达到《城市污水再生利用</w:t>
      </w:r>
      <w:r>
        <w:rPr>
          <w:rFonts w:ascii="Times New Roman" w:hAnsi="Times New Roman" w:eastAsia="仿宋_GB2312"/>
          <w:kern w:val="0"/>
          <w:sz w:val="32"/>
          <w:szCs w:val="32"/>
        </w:rPr>
        <w:t xml:space="preserve"> </w:t>
      </w:r>
      <w:r>
        <w:rPr>
          <w:rFonts w:ascii="仿宋_GB2312" w:hAnsi="Times New Roman" w:eastAsia="仿宋_GB2312"/>
          <w:kern w:val="0"/>
          <w:sz w:val="32"/>
          <w:szCs w:val="32"/>
        </w:rPr>
        <w:t>城市杂用水水质》（</w:t>
      </w:r>
      <w:r>
        <w:rPr>
          <w:rFonts w:ascii="Times New Roman" w:hAnsi="Times New Roman" w:eastAsia="仿宋_GB2312"/>
          <w:kern w:val="0"/>
          <w:sz w:val="32"/>
          <w:szCs w:val="32"/>
        </w:rPr>
        <w:t>GB/T18920-2020</w:t>
      </w:r>
      <w:r>
        <w:rPr>
          <w:rFonts w:ascii="仿宋_GB2312" w:hAnsi="Times New Roman" w:eastAsia="仿宋_GB2312"/>
          <w:kern w:val="0"/>
          <w:sz w:val="32"/>
          <w:szCs w:val="32"/>
        </w:rPr>
        <w:t>）中城市绿化、道路清扫用水标准后，晴天回用于选厂绿化及道路洒水降尘；选厂初期雨水经初期雨水池沉淀处理后，回用于厂区及周边道路洒水降尘。</w:t>
      </w:r>
    </w:p>
    <w:p>
      <w:pPr>
        <w:autoSpaceDE w:val="0"/>
        <w:spacing w:line="50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kern w:val="0"/>
          <w:sz w:val="32"/>
          <w:szCs w:val="32"/>
          <w:shd w:val="clear" w:color="auto" w:fill="FFFFFF"/>
        </w:rPr>
        <w:t>施工废水经临时沉淀池处理后，回用于施工砼搅拌、砂浆制备及洒水降尘；地表径流经沉砂池收集沉淀后，用于施工用水和洒水降尘；施工期生活污水依托已建项目部化粪池预处理后，委托当地环卫部门清运处置。</w:t>
      </w:r>
    </w:p>
    <w:p>
      <w:pPr>
        <w:autoSpaceDE w:val="0"/>
        <w:spacing w:line="500" w:lineRule="exact"/>
        <w:ind w:firstLine="640" w:firstLineChars="200"/>
        <w:rPr>
          <w:rFonts w:ascii="Times New Roman" w:hAnsi="Times New Roman" w:eastAsia="仿宋_GB2312"/>
          <w:spacing w:val="4"/>
          <w:kern w:val="24"/>
          <w:sz w:val="32"/>
          <w:szCs w:val="32"/>
        </w:rPr>
      </w:pPr>
      <w:r>
        <w:rPr>
          <w:rFonts w:ascii="仿宋_GB2312" w:hAnsi="Times New Roman" w:eastAsia="仿宋_GB2312"/>
          <w:sz w:val="32"/>
          <w:szCs w:val="32"/>
        </w:rPr>
        <w:t>（二）严格落实各项大气污染防治措施，</w:t>
      </w:r>
      <w:r>
        <w:rPr>
          <w:rFonts w:ascii="仿宋_GB2312" w:hAnsi="Times New Roman" w:eastAsia="仿宋_GB2312"/>
          <w:spacing w:val="4"/>
          <w:kern w:val="24"/>
          <w:sz w:val="32"/>
          <w:szCs w:val="32"/>
        </w:rPr>
        <w:t>确保大气污染物达标排放。</w:t>
      </w:r>
    </w:p>
    <w:p>
      <w:pPr>
        <w:autoSpaceDE w:val="0"/>
        <w:spacing w:line="50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kern w:val="0"/>
          <w:sz w:val="32"/>
          <w:szCs w:val="32"/>
          <w:shd w:val="clear" w:color="auto" w:fill="FFFFFF"/>
        </w:rPr>
        <w:t>项目共设置</w:t>
      </w:r>
      <w:r>
        <w:rPr>
          <w:rFonts w:ascii="Times New Roman" w:hAnsi="Times New Roman" w:eastAsia="仿宋_GB2312"/>
          <w:kern w:val="0"/>
          <w:sz w:val="32"/>
          <w:szCs w:val="32"/>
          <w:shd w:val="clear" w:color="auto" w:fill="FFFFFF"/>
        </w:rPr>
        <w:t>2</w:t>
      </w:r>
      <w:r>
        <w:rPr>
          <w:rFonts w:ascii="仿宋_GB2312" w:hAnsi="Times New Roman" w:eastAsia="仿宋_GB2312"/>
          <w:kern w:val="0"/>
          <w:sz w:val="32"/>
          <w:szCs w:val="32"/>
          <w:shd w:val="clear" w:color="auto" w:fill="FFFFFF"/>
        </w:rPr>
        <w:t>根排气筒，高度均不低于</w:t>
      </w:r>
      <w:r>
        <w:rPr>
          <w:rFonts w:ascii="Times New Roman" w:hAnsi="Times New Roman" w:eastAsia="仿宋_GB2312"/>
          <w:kern w:val="0"/>
          <w:sz w:val="32"/>
          <w:szCs w:val="32"/>
          <w:shd w:val="clear" w:color="auto" w:fill="FFFFFF"/>
        </w:rPr>
        <w:t>15</w:t>
      </w:r>
      <w:r>
        <w:rPr>
          <w:rFonts w:ascii="仿宋_GB2312" w:hAnsi="Times New Roman" w:eastAsia="仿宋_GB2312"/>
          <w:kern w:val="0"/>
          <w:sz w:val="32"/>
          <w:szCs w:val="32"/>
          <w:shd w:val="clear" w:color="auto" w:fill="FFFFFF"/>
        </w:rPr>
        <w:t>米。</w:t>
      </w:r>
    </w:p>
    <w:p>
      <w:pPr>
        <w:widowControl/>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项目运营期烘干烟气产生的颗粒物排放执行《工业炉窑大气污染物排放标准》（</w:t>
      </w:r>
      <w:r>
        <w:rPr>
          <w:rFonts w:ascii="Times New Roman" w:hAnsi="Times New Roman" w:eastAsia="仿宋_GB2312"/>
          <w:kern w:val="0"/>
          <w:sz w:val="32"/>
          <w:szCs w:val="32"/>
        </w:rPr>
        <w:t>GB9078-1996</w:t>
      </w:r>
      <w:r>
        <w:rPr>
          <w:rFonts w:ascii="仿宋_GB2312" w:hAnsi="Times New Roman" w:eastAsia="仿宋_GB2312"/>
          <w:kern w:val="0"/>
          <w:sz w:val="32"/>
          <w:szCs w:val="32"/>
        </w:rPr>
        <w:t>）表</w:t>
      </w:r>
      <w:r>
        <w:rPr>
          <w:rFonts w:ascii="Times New Roman" w:hAnsi="Times New Roman" w:eastAsia="仿宋_GB2312"/>
          <w:kern w:val="0"/>
          <w:sz w:val="32"/>
          <w:szCs w:val="32"/>
        </w:rPr>
        <w:t>2</w:t>
      </w:r>
      <w:r>
        <w:rPr>
          <w:rFonts w:ascii="仿宋_GB2312" w:hAnsi="Times New Roman" w:eastAsia="仿宋_GB2312"/>
          <w:kern w:val="0"/>
          <w:sz w:val="32"/>
          <w:szCs w:val="32"/>
        </w:rPr>
        <w:t>二级标准限值，二氧化硫、氮氧化物排放执行《大气污染物综合排放标准》（</w:t>
      </w:r>
      <w:r>
        <w:rPr>
          <w:rFonts w:ascii="Times New Roman" w:hAnsi="Times New Roman" w:eastAsia="仿宋_GB2312"/>
          <w:kern w:val="0"/>
          <w:sz w:val="32"/>
          <w:szCs w:val="32"/>
        </w:rPr>
        <w:t>GB16297-1996</w:t>
      </w:r>
      <w:r>
        <w:rPr>
          <w:rFonts w:ascii="仿宋_GB2312" w:hAnsi="Times New Roman" w:eastAsia="仿宋_GB2312"/>
          <w:kern w:val="0"/>
          <w:sz w:val="32"/>
          <w:szCs w:val="32"/>
        </w:rPr>
        <w:t>）表</w:t>
      </w:r>
      <w:r>
        <w:rPr>
          <w:rFonts w:ascii="Times New Roman" w:hAnsi="Times New Roman" w:eastAsia="仿宋_GB2312"/>
          <w:kern w:val="0"/>
          <w:sz w:val="32"/>
          <w:szCs w:val="32"/>
        </w:rPr>
        <w:t>2</w:t>
      </w:r>
      <w:r>
        <w:rPr>
          <w:rFonts w:ascii="仿宋_GB2312" w:hAnsi="Times New Roman" w:eastAsia="仿宋_GB2312"/>
          <w:kern w:val="0"/>
          <w:sz w:val="32"/>
          <w:szCs w:val="32"/>
        </w:rPr>
        <w:t>中二级排放标准限值。干磁选产生的颗粒物排放执行《镁、钛工业污染物排放标准》（</w:t>
      </w:r>
      <w:r>
        <w:rPr>
          <w:rFonts w:ascii="Times New Roman" w:hAnsi="Times New Roman" w:eastAsia="仿宋_GB2312"/>
          <w:kern w:val="0"/>
          <w:sz w:val="32"/>
          <w:szCs w:val="32"/>
        </w:rPr>
        <w:t>GB25468-2010</w:t>
      </w:r>
      <w:r>
        <w:rPr>
          <w:rFonts w:ascii="仿宋_GB2312" w:hAnsi="Times New Roman" w:eastAsia="仿宋_GB2312"/>
          <w:kern w:val="0"/>
          <w:sz w:val="32"/>
          <w:szCs w:val="32"/>
        </w:rPr>
        <w:t>）表</w:t>
      </w:r>
      <w:r>
        <w:rPr>
          <w:rFonts w:ascii="Times New Roman" w:hAnsi="Times New Roman" w:eastAsia="仿宋_GB2312"/>
          <w:kern w:val="0"/>
          <w:sz w:val="32"/>
          <w:szCs w:val="32"/>
        </w:rPr>
        <w:t>5</w:t>
      </w:r>
      <w:r>
        <w:rPr>
          <w:rFonts w:ascii="仿宋_GB2312" w:hAnsi="Times New Roman" w:eastAsia="仿宋_GB2312"/>
          <w:kern w:val="0"/>
          <w:sz w:val="32"/>
          <w:szCs w:val="32"/>
        </w:rPr>
        <w:t>新建企业大气污染物排放浓度限值。</w:t>
      </w:r>
    </w:p>
    <w:p>
      <w:pPr>
        <w:widowControl/>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食堂油烟排放执行《饮食业油烟排放标准（试行）》（</w:t>
      </w:r>
      <w:r>
        <w:rPr>
          <w:rFonts w:ascii="Times New Roman" w:hAnsi="Times New Roman" w:eastAsia="仿宋_GB2312"/>
          <w:kern w:val="0"/>
          <w:sz w:val="32"/>
          <w:szCs w:val="32"/>
        </w:rPr>
        <w:t>GB18483-2001</w:t>
      </w:r>
      <w:r>
        <w:rPr>
          <w:rFonts w:ascii="仿宋_GB2312" w:hAnsi="Times New Roman" w:eastAsia="仿宋_GB2312"/>
          <w:kern w:val="0"/>
          <w:sz w:val="32"/>
          <w:szCs w:val="32"/>
        </w:rPr>
        <w:t>）表</w:t>
      </w:r>
      <w:r>
        <w:rPr>
          <w:rFonts w:ascii="Times New Roman" w:hAnsi="Times New Roman" w:eastAsia="仿宋_GB2312"/>
          <w:kern w:val="0"/>
          <w:sz w:val="32"/>
          <w:szCs w:val="32"/>
        </w:rPr>
        <w:t>2</w:t>
      </w:r>
      <w:r>
        <w:rPr>
          <w:rFonts w:ascii="仿宋_GB2312" w:hAnsi="Times New Roman" w:eastAsia="仿宋_GB2312"/>
          <w:kern w:val="0"/>
          <w:sz w:val="32"/>
          <w:szCs w:val="32"/>
        </w:rPr>
        <w:t>饮食业单位的油烟最高允许排放浓度和油烟净化设施最低去除效率。</w:t>
      </w:r>
    </w:p>
    <w:p>
      <w:pPr>
        <w:widowControl/>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shd w:val="clear" w:color="auto" w:fill="FFFFFF"/>
        </w:rPr>
        <w:t>厂界无组织颗粒物排放执行《镁、钛工业污染物排放标准》（</w:t>
      </w:r>
      <w:r>
        <w:rPr>
          <w:rFonts w:ascii="Times New Roman" w:hAnsi="Times New Roman" w:eastAsia="仿宋_GB2312"/>
          <w:kern w:val="0"/>
          <w:sz w:val="32"/>
          <w:szCs w:val="32"/>
          <w:shd w:val="clear" w:color="auto" w:fill="FFFFFF"/>
        </w:rPr>
        <w:t>GB25468-2010</w:t>
      </w:r>
      <w:r>
        <w:rPr>
          <w:rFonts w:ascii="仿宋_GB2312" w:hAnsi="Times New Roman" w:eastAsia="仿宋_GB2312"/>
          <w:kern w:val="0"/>
          <w:sz w:val="32"/>
          <w:szCs w:val="32"/>
          <w:shd w:val="clear" w:color="auto" w:fill="FFFFFF"/>
        </w:rPr>
        <w:t>）中表</w:t>
      </w:r>
      <w:r>
        <w:rPr>
          <w:rFonts w:ascii="Times New Roman" w:hAnsi="Times New Roman" w:eastAsia="仿宋_GB2312"/>
          <w:kern w:val="0"/>
          <w:sz w:val="32"/>
          <w:szCs w:val="32"/>
          <w:shd w:val="clear" w:color="auto" w:fill="FFFFFF"/>
        </w:rPr>
        <w:t>6</w:t>
      </w:r>
      <w:r>
        <w:rPr>
          <w:rFonts w:ascii="仿宋_GB2312" w:hAnsi="Times New Roman" w:eastAsia="仿宋_GB2312"/>
          <w:kern w:val="0"/>
          <w:sz w:val="32"/>
          <w:szCs w:val="32"/>
          <w:shd w:val="clear" w:color="auto" w:fill="FFFFFF"/>
        </w:rPr>
        <w:t>现有和新建企业边界大气污染物浓度限值。</w:t>
      </w:r>
    </w:p>
    <w:p>
      <w:pPr>
        <w:autoSpaceDE w:val="0"/>
        <w:spacing w:line="50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sz w:val="32"/>
          <w:szCs w:val="32"/>
          <w:shd w:val="clear" w:color="auto" w:fill="FFFFFF"/>
        </w:rPr>
        <w:t>施工场地及运输道路需适时洒水抑尘，易起尘物料采取遮盖措施，运输车辆实行密闭运输并清洗轮胎、限速行驶，加强施工机械与车辆的维护保养，严格落实扬尘污染防治责任制度；施工扬尘执行《大气污染物综合排放标准》（</w:t>
      </w:r>
      <w:r>
        <w:rPr>
          <w:rFonts w:ascii="Times New Roman" w:hAnsi="Times New Roman" w:eastAsia="仿宋_GB2312"/>
          <w:sz w:val="32"/>
          <w:szCs w:val="32"/>
          <w:shd w:val="clear" w:color="auto" w:fill="FFFFFF"/>
        </w:rPr>
        <w:t>GB16297-1996</w:t>
      </w:r>
      <w:r>
        <w:rPr>
          <w:rFonts w:ascii="仿宋_GB2312" w:hAnsi="Times New Roman" w:eastAsia="仿宋_GB2312"/>
          <w:sz w:val="32"/>
          <w:szCs w:val="32"/>
          <w:shd w:val="clear" w:color="auto" w:fill="FFFFFF"/>
        </w:rPr>
        <w:t>）表</w:t>
      </w:r>
      <w:r>
        <w:rPr>
          <w:rFonts w:ascii="Times New Roman" w:hAnsi="Times New Roman" w:eastAsia="仿宋_GB2312"/>
          <w:sz w:val="32"/>
          <w:szCs w:val="32"/>
          <w:shd w:val="clear" w:color="auto" w:fill="FFFFFF"/>
        </w:rPr>
        <w:t>2</w:t>
      </w:r>
      <w:r>
        <w:rPr>
          <w:rFonts w:ascii="仿宋_GB2312" w:hAnsi="Times New Roman" w:eastAsia="仿宋_GB2312"/>
          <w:sz w:val="32"/>
          <w:szCs w:val="32"/>
          <w:shd w:val="clear" w:color="auto" w:fill="FFFFFF"/>
        </w:rPr>
        <w:t>无组织排放监控浓度限值。</w:t>
      </w:r>
    </w:p>
    <w:p>
      <w:pPr>
        <w:autoSpaceDE w:val="0"/>
        <w:spacing w:line="500" w:lineRule="exact"/>
        <w:ind w:left="64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项目运营期合理布置高噪声设备，严禁夜间生产；采取设备基础减震、加强设备维护、厂房隔声、强化厂区绿化等降噪措施。矿区、供水泵房厂界昼间噪声执行《工业企业厂界环境噪声排放标准》（</w:t>
      </w:r>
      <w:r>
        <w:rPr>
          <w:rFonts w:ascii="Times New Roman" w:hAnsi="Times New Roman" w:eastAsia="仿宋_GB2312"/>
          <w:kern w:val="0"/>
          <w:sz w:val="32"/>
          <w:szCs w:val="32"/>
        </w:rPr>
        <w:t>GB12348-2008</w:t>
      </w:r>
      <w:r>
        <w:rPr>
          <w:rFonts w:ascii="仿宋_GB2312" w:hAnsi="Times New Roman" w:eastAsia="仿宋_GB2312"/>
          <w:kern w:val="0"/>
          <w:sz w:val="32"/>
          <w:szCs w:val="32"/>
        </w:rPr>
        <w:t>）</w:t>
      </w:r>
      <w:r>
        <w:rPr>
          <w:rFonts w:ascii="Times New Roman" w:hAnsi="Times New Roman" w:eastAsia="仿宋_GB2312"/>
          <w:kern w:val="0"/>
          <w:sz w:val="32"/>
          <w:szCs w:val="32"/>
        </w:rPr>
        <w:t>2</w:t>
      </w:r>
      <w:r>
        <w:rPr>
          <w:rFonts w:ascii="仿宋_GB2312" w:hAnsi="Times New Roman" w:eastAsia="仿宋_GB2312"/>
          <w:kern w:val="0"/>
          <w:sz w:val="32"/>
          <w:szCs w:val="32"/>
        </w:rPr>
        <w:t>类标准。</w:t>
      </w:r>
    </w:p>
    <w:p>
      <w:pPr>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施工期合理布局产噪设备并加强维护；科学安排施工时间，强化施工管理并优化作业方式；合理规划运输时段与路线，控制运输车辆行驶速度，施工噪声执行《建筑施工噪声排放标准》（</w:t>
      </w:r>
      <w:r>
        <w:rPr>
          <w:rFonts w:ascii="Times New Roman" w:hAnsi="Times New Roman" w:eastAsia="仿宋_GB2312"/>
          <w:kern w:val="0"/>
          <w:sz w:val="32"/>
          <w:szCs w:val="32"/>
        </w:rPr>
        <w:t>GB12523-2025</w:t>
      </w:r>
      <w:r>
        <w:rPr>
          <w:rFonts w:ascii="仿宋_GB2312" w:hAnsi="Times New Roman" w:eastAsia="仿宋_GB2312"/>
          <w:kern w:val="0"/>
          <w:sz w:val="32"/>
          <w:szCs w:val="32"/>
        </w:rPr>
        <w:t>）。</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widowControl/>
        <w:topLinePunct/>
        <w:autoSpaceDE w:val="0"/>
        <w:adjustRightInd w:val="0"/>
        <w:spacing w:line="500" w:lineRule="exact"/>
        <w:ind w:firstLine="640" w:firstLineChars="200"/>
        <w:textAlignment w:val="baseline"/>
        <w:rPr>
          <w:rFonts w:ascii="Times New Roman" w:hAnsi="Times New Roman" w:eastAsia="仿宋_GB2312"/>
          <w:spacing w:val="-10"/>
          <w:sz w:val="32"/>
          <w:szCs w:val="32"/>
          <w:shd w:val="clear" w:color="auto" w:fill="FFFFFF"/>
        </w:rPr>
      </w:pPr>
      <w:r>
        <w:rPr>
          <w:rFonts w:ascii="仿宋_GB2312" w:hAnsi="Times New Roman" w:eastAsia="仿宋_GB2312"/>
          <w:sz w:val="32"/>
          <w:szCs w:val="32"/>
        </w:rPr>
        <w:t>项目运营期</w:t>
      </w:r>
      <w:r>
        <w:rPr>
          <w:rFonts w:ascii="仿宋_GB2312" w:hAnsi="Times New Roman" w:eastAsia="仿宋_GB2312"/>
          <w:kern w:val="0"/>
          <w:sz w:val="32"/>
          <w:szCs w:val="32"/>
        </w:rPr>
        <w:t>剥离表土统一堆放于临时表土堆场，用于项目区内绿化与复垦；剥离废石用于修筑采区挡土墙及矿山道路；尾矿脱水后暂存于尾矿临时堆场，部分转运至富民铸铖新型建材技术有限公司生产建筑保温隔热材料，剩余部分外运至富民健成矿业有限公司麦地沟尾矿库处置；沉降室及</w:t>
      </w:r>
      <w:r>
        <w:rPr>
          <w:rFonts w:ascii="Times New Roman" w:hAnsi="Times New Roman" w:eastAsia="仿宋_GB2312"/>
          <w:kern w:val="0"/>
          <w:sz w:val="32"/>
          <w:szCs w:val="32"/>
        </w:rPr>
        <w:t>1#</w:t>
      </w:r>
      <w:r>
        <w:rPr>
          <w:rFonts w:ascii="仿宋_GB2312" w:hAnsi="Times New Roman" w:eastAsia="仿宋_GB2312"/>
          <w:kern w:val="0"/>
          <w:sz w:val="32"/>
          <w:szCs w:val="32"/>
        </w:rPr>
        <w:t>布袋除尘器收集的粉尘进入后续干磁选工序；</w:t>
      </w:r>
      <w:r>
        <w:rPr>
          <w:rFonts w:ascii="Times New Roman" w:hAnsi="Times New Roman" w:eastAsia="仿宋_GB2312"/>
          <w:kern w:val="0"/>
          <w:sz w:val="32"/>
          <w:szCs w:val="32"/>
        </w:rPr>
        <w:t>2#</w:t>
      </w:r>
      <w:r>
        <w:rPr>
          <w:rFonts w:ascii="仿宋_GB2312" w:hAnsi="Times New Roman" w:eastAsia="仿宋_GB2312"/>
          <w:kern w:val="0"/>
          <w:sz w:val="32"/>
          <w:szCs w:val="32"/>
        </w:rPr>
        <w:t>布袋除尘器收集的粉尘作为钛精矿出售；生物质颗粒燃烧机产生的燃烧灰渣外售至其他企业用于制作复合肥料；淋滤水收集池污泥作为原矿送入选厂选矿。生活垃圾分类收集后运至款庄镇垃圾中转站，由当地环卫部门统一处置；化粪池、污水处理站污泥委托环卫部门定期清理；食堂厨余垃圾委托有资质的单位定期清运处理。废机油、机修隔油池油污、废弃含油抹布及手套收集后分区暂存于危险废物暂存库，委托有资质的单位清运处置，危险废物的收集、贮存与运输严格执行《危险废物贮存污染控制标准》（</w:t>
      </w:r>
      <w:r>
        <w:rPr>
          <w:rFonts w:ascii="Times New Roman" w:hAnsi="Times New Roman" w:eastAsia="仿宋_GB2312"/>
          <w:kern w:val="0"/>
          <w:sz w:val="32"/>
          <w:szCs w:val="32"/>
        </w:rPr>
        <w:t>GB18597-2023</w:t>
      </w:r>
      <w:r>
        <w:rPr>
          <w:rFonts w:ascii="仿宋_GB2312" w:hAnsi="Times New Roman" w:eastAsia="仿宋_GB2312"/>
          <w:kern w:val="0"/>
          <w:sz w:val="32"/>
          <w:szCs w:val="32"/>
        </w:rPr>
        <w:t>）《危险废物收集贮存运输技术规范》（</w:t>
      </w:r>
      <w:r>
        <w:rPr>
          <w:rFonts w:ascii="Times New Roman" w:hAnsi="Times New Roman" w:eastAsia="仿宋_GB2312"/>
          <w:kern w:val="0"/>
          <w:sz w:val="32"/>
          <w:szCs w:val="32"/>
        </w:rPr>
        <w:t>HJ2025-2012</w:t>
      </w:r>
      <w:r>
        <w:rPr>
          <w:rFonts w:ascii="仿宋_GB2312" w:hAnsi="Times New Roman" w:eastAsia="仿宋_GB2312"/>
          <w:kern w:val="0"/>
          <w:sz w:val="32"/>
          <w:szCs w:val="32"/>
        </w:rPr>
        <w:t>）</w:t>
      </w:r>
      <w:r>
        <w:rPr>
          <w:rFonts w:ascii="仿宋_GB2312" w:hAnsi="Times New Roman" w:eastAsia="仿宋_GB2312"/>
          <w:spacing w:val="-10"/>
          <w:sz w:val="32"/>
          <w:szCs w:val="32"/>
          <w:shd w:val="clear" w:color="auto" w:fill="FFFFFF"/>
        </w:rPr>
        <w:t>。</w:t>
      </w:r>
    </w:p>
    <w:p>
      <w:pPr>
        <w:widowControl/>
        <w:autoSpaceDE w:val="0"/>
        <w:spacing w:line="50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kern w:val="0"/>
          <w:sz w:val="32"/>
          <w:szCs w:val="32"/>
        </w:rPr>
        <w:t>施工期</w:t>
      </w:r>
      <w:r>
        <w:rPr>
          <w:rFonts w:ascii="仿宋_GB2312" w:hAnsi="Times New Roman" w:eastAsia="仿宋_GB2312"/>
          <w:kern w:val="0"/>
          <w:sz w:val="32"/>
          <w:szCs w:val="32"/>
          <w:shd w:val="clear" w:color="auto" w:fill="FFFFFF"/>
        </w:rPr>
        <w:t>土石方大部分用于回填；表土运至表土堆存场堆放，运营期用于采场复垦；剥离废石用于边坡维护及道路建设。建筑垃圾分类收集，回收可利用部分，不可回收部分清运至相关部门指定地点堆存</w:t>
      </w:r>
      <w:r>
        <w:rPr>
          <w:rFonts w:hint="eastAsia" w:ascii="仿宋_GB2312" w:hAnsi="Times New Roman" w:eastAsia="仿宋_GB2312"/>
          <w:kern w:val="0"/>
          <w:sz w:val="32"/>
          <w:szCs w:val="32"/>
          <w:shd w:val="clear" w:color="auto" w:fill="FFFFFF"/>
        </w:rPr>
        <w:t>；</w:t>
      </w:r>
      <w:r>
        <w:rPr>
          <w:rFonts w:ascii="仿宋_GB2312" w:hAnsi="Times New Roman" w:eastAsia="仿宋_GB2312"/>
          <w:kern w:val="0"/>
          <w:sz w:val="32"/>
          <w:szCs w:val="32"/>
          <w:shd w:val="clear" w:color="auto" w:fill="FFFFFF"/>
        </w:rPr>
        <w:t>生活垃圾清运至乡镇垃圾中转站，由当地环卫部门定期清运处置</w:t>
      </w:r>
      <w:r>
        <w:rPr>
          <w:rFonts w:ascii="仿宋_GB2312" w:hAnsi="Times New Roman" w:eastAsia="仿宋_GB2312"/>
          <w:sz w:val="32"/>
          <w:szCs w:val="32"/>
          <w:shd w:val="clear" w:color="auto" w:fill="FFFFFF"/>
        </w:rPr>
        <w:t>。</w:t>
      </w:r>
    </w:p>
    <w:p>
      <w:pPr>
        <w:widowControl/>
        <w:autoSpaceDE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五）加强地下水和土壤污染防治。严格落实地下水污染防治措施，做好危险废物暂存库、柴油储罐区、淋滤水收集池、事故池、精矿脱水车间、选矿车间、浓缩车间、尾矿脱水车间等重点区域的分区分级防渗工作。项目设置</w:t>
      </w:r>
      <w:r>
        <w:rPr>
          <w:rFonts w:ascii="Times New Roman" w:hAnsi="Times New Roman" w:eastAsia="仿宋_GB2312"/>
          <w:kern w:val="0"/>
          <w:sz w:val="32"/>
          <w:szCs w:val="32"/>
        </w:rPr>
        <w:t>3</w:t>
      </w:r>
      <w:r>
        <w:rPr>
          <w:rFonts w:hint="eastAsia" w:ascii="仿宋_GB2312" w:hAnsi="Times New Roman" w:eastAsia="仿宋_GB2312"/>
          <w:kern w:val="0"/>
          <w:sz w:val="32"/>
          <w:szCs w:val="32"/>
        </w:rPr>
        <w:t>个</w:t>
      </w:r>
      <w:r>
        <w:rPr>
          <w:rFonts w:ascii="仿宋_GB2312" w:hAnsi="Times New Roman" w:eastAsia="仿宋_GB2312"/>
          <w:kern w:val="0"/>
          <w:sz w:val="32"/>
          <w:szCs w:val="32"/>
        </w:rPr>
        <w:t>地下水跟踪监测井</w:t>
      </w:r>
      <w:r>
        <w:rPr>
          <w:rFonts w:hint="eastAsia" w:ascii="仿宋_GB2312" w:hAnsi="Times New Roman" w:eastAsia="仿宋_GB2312"/>
          <w:kern w:val="0"/>
          <w:sz w:val="32"/>
          <w:szCs w:val="32"/>
        </w:rPr>
        <w:t>和</w:t>
      </w:r>
      <w:r>
        <w:rPr>
          <w:rFonts w:hint="eastAsia" w:ascii="Times New Roman" w:hAnsi="Times New Roman" w:eastAsia="仿宋_GB2312"/>
          <w:kern w:val="0"/>
          <w:sz w:val="32"/>
          <w:szCs w:val="32"/>
        </w:rPr>
        <w:t>3</w:t>
      </w:r>
      <w:r>
        <w:rPr>
          <w:rFonts w:hint="eastAsia" w:ascii="仿宋_GB2312" w:hAnsi="Times New Roman" w:eastAsia="仿宋_GB2312"/>
          <w:kern w:val="0"/>
          <w:sz w:val="32"/>
          <w:szCs w:val="32"/>
        </w:rPr>
        <w:t>个土壤跟踪监测点</w:t>
      </w:r>
      <w:r>
        <w:rPr>
          <w:rFonts w:ascii="仿宋_GB2312" w:hAnsi="Times New Roman" w:eastAsia="仿宋_GB2312"/>
          <w:kern w:val="0"/>
          <w:sz w:val="32"/>
          <w:szCs w:val="32"/>
        </w:rPr>
        <w:t>，</w:t>
      </w:r>
      <w:r>
        <w:rPr>
          <w:rFonts w:hint="eastAsia" w:ascii="仿宋_GB2312" w:hAnsi="Times New Roman" w:eastAsia="仿宋_GB2312"/>
          <w:kern w:val="0"/>
          <w:sz w:val="32"/>
          <w:szCs w:val="32"/>
        </w:rPr>
        <w:t>按照地下水和土壤跟踪监测计划，定期对地下水和土壤监测点进行监测。</w:t>
      </w:r>
    </w:p>
    <w:p>
      <w:pPr>
        <w:autoSpaceDE w:val="0"/>
        <w:spacing w:line="500" w:lineRule="exact"/>
        <w:ind w:firstLine="641"/>
        <w:rPr>
          <w:rFonts w:ascii="Times New Roman" w:hAnsi="Times New Roman" w:eastAsia="仿宋_GB2312"/>
          <w:sz w:val="32"/>
          <w:szCs w:val="32"/>
        </w:rPr>
      </w:pPr>
      <w:r>
        <w:rPr>
          <w:rFonts w:ascii="仿宋_GB2312" w:hAnsi="Times New Roman" w:eastAsia="仿宋_GB2312"/>
          <w:sz w:val="32"/>
          <w:szCs w:val="32"/>
        </w:rPr>
        <w:t>（六）落实生态保护与恢复措施，制定矿山生态环境保护恢复治理方案，加强基建期、运营期、闭矿期生态治理，防止水土流失与地质灾害发生。</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七）做好环境风险应急管理工作。严格执行《报告书》中风险影响评价的各项防范措施，建设相应风险防范设施，编制突发环境事件应急预案并报昆明市生态环境局富民分局备案，开展必要的应急培训、宣传和演练。</w:t>
      </w:r>
    </w:p>
    <w:p>
      <w:pPr>
        <w:suppressAutoHyphens/>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（八）项目污染物排放总量：氮氧化物总量为</w:t>
      </w:r>
      <w:r>
        <w:rPr>
          <w:rFonts w:ascii="Times New Roman" w:hAnsi="Times New Roman" w:eastAsia="仿宋_GB2312"/>
          <w:sz w:val="32"/>
          <w:szCs w:val="32"/>
        </w:rPr>
        <w:t>0.32t/a</w:t>
      </w:r>
      <w:r>
        <w:rPr>
          <w:rFonts w:ascii="仿宋_GB2312" w:hAnsi="Times New Roman" w:eastAsia="仿宋_GB2312"/>
          <w:sz w:val="32"/>
          <w:szCs w:val="32"/>
        </w:rPr>
        <w:t>，该总量指标来源于富民县再昌空心砖加工厂淘汰关停形成的削减量。</w:t>
      </w:r>
    </w:p>
    <w:p>
      <w:pPr>
        <w:suppressAutoHyphens/>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（九）按照《排污许可管理条例》相关规定，纳入固定污染源排污许可管理的，需在项目启动生产设施或发生实际排污</w:t>
      </w:r>
      <w:r>
        <w:rPr>
          <w:rFonts w:ascii="仿宋_GB2312" w:hAnsi="Times New Roman" w:eastAsia="仿宋_GB2312"/>
          <w:spacing w:val="-10"/>
          <w:sz w:val="32"/>
          <w:szCs w:val="32"/>
        </w:rPr>
        <w:t>前依法办理排污许可手续，未取得排污许可手续不得排放污染物。</w:t>
      </w:r>
    </w:p>
    <w:p>
      <w:pPr>
        <w:suppressAutoHyphens/>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shd w:val="clear" w:color="auto" w:fill="FFFFFF"/>
        </w:rPr>
        <w:t>（十）</w:t>
      </w:r>
      <w:r>
        <w:rPr>
          <w:rFonts w:ascii="仿宋_GB2312" w:hAnsi="Times New Roman" w:eastAsia="仿宋_GB2312"/>
          <w:sz w:val="32"/>
          <w:szCs w:val="32"/>
        </w:rPr>
        <w:t>认真组织实施《报告书》提出的环境监测计划，定期</w:t>
      </w:r>
      <w:r>
        <w:rPr>
          <w:rFonts w:ascii="仿宋_GB2312" w:hAnsi="Times New Roman" w:eastAsia="仿宋_GB2312"/>
          <w:spacing w:val="-6"/>
          <w:sz w:val="32"/>
          <w:szCs w:val="32"/>
        </w:rPr>
        <w:t>开展监测，发现异常立即停产，及时查明原因并采取有效控制措施。</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（十一）</w:t>
      </w:r>
      <w:r>
        <w:rPr>
          <w:rFonts w:ascii="仿宋_GB2312" w:hAnsi="Times New Roman" w:eastAsia="仿宋_GB2312"/>
          <w:sz w:val="32"/>
          <w:szCs w:val="32"/>
        </w:rPr>
        <w:t>针对原项目存在的环境问题，在本项目投入运营前完成各项整改措施。</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三、设计阶段应开展环境保护设计，落实生态保护和环境污染防治的各项措施及投资，严格执行环境保护设施与主体</w:t>
      </w:r>
      <w:r>
        <w:rPr>
          <w:rFonts w:ascii="仿宋_GB2312" w:hAnsi="Times New Roman" w:eastAsia="仿宋_GB2312"/>
          <w:spacing w:val="-10"/>
          <w:sz w:val="32"/>
          <w:szCs w:val="32"/>
        </w:rPr>
        <w:t>工程同时设计、同时施工、同时投入使用的环保</w:t>
      </w:r>
      <w:r>
        <w:rPr>
          <w:rFonts w:ascii="Times New Roman" w:hAnsi="Times New Roman" w:eastAsia="仿宋_GB2312"/>
          <w:spacing w:val="-10"/>
          <w:sz w:val="32"/>
          <w:szCs w:val="32"/>
        </w:rPr>
        <w:t>“</w:t>
      </w:r>
      <w:r>
        <w:rPr>
          <w:rFonts w:ascii="仿宋_GB2312" w:hAnsi="Times New Roman" w:eastAsia="仿宋_GB2312"/>
          <w:spacing w:val="-10"/>
          <w:sz w:val="32"/>
          <w:szCs w:val="32"/>
        </w:rPr>
        <w:t>三同时</w:t>
      </w:r>
      <w:r>
        <w:rPr>
          <w:rFonts w:ascii="Times New Roman" w:hAnsi="Times New Roman" w:eastAsia="仿宋_GB2312"/>
          <w:spacing w:val="-10"/>
          <w:sz w:val="32"/>
          <w:szCs w:val="32"/>
        </w:rPr>
        <w:t>”</w:t>
      </w:r>
      <w:r>
        <w:rPr>
          <w:rFonts w:ascii="仿宋_GB2312" w:hAnsi="Times New Roman" w:eastAsia="仿宋_GB2312"/>
          <w:spacing w:val="-10"/>
          <w:sz w:val="32"/>
          <w:szCs w:val="32"/>
        </w:rPr>
        <w:t>制度。</w:t>
      </w:r>
      <w:r>
        <w:rPr>
          <w:rFonts w:ascii="仿宋_GB2312" w:hAnsi="Times New Roman" w:eastAsia="仿宋_GB2312"/>
          <w:sz w:val="32"/>
          <w:szCs w:val="32"/>
        </w:rPr>
        <w:t>项目建成调试后，按规定自主开展竣工环保验收，经验收合格后方可正式投入运行。</w:t>
      </w:r>
    </w:p>
    <w:p>
      <w:pPr>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autoSpaceDE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五、你单位应按规定接受各级生态环境主管部门的监督检查。请市生态环境局富民分局负责组织项目环境现场执法和日</w:t>
      </w:r>
      <w:r>
        <w:rPr>
          <w:rFonts w:ascii="仿宋_GB2312" w:hAnsi="Times New Roman" w:eastAsia="仿宋_GB2312"/>
          <w:spacing w:val="-10"/>
          <w:sz w:val="32"/>
          <w:szCs w:val="32"/>
        </w:rPr>
        <w:t>常监督管理，请市生态环境保护综合行政执法支队加强监督检查。</w:t>
      </w:r>
    </w:p>
    <w:p>
      <w:pPr>
        <w:autoSpaceDE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六、请依法到其他部门办理相关手续。</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p>
    <w:p>
      <w:pPr>
        <w:spacing w:line="560" w:lineRule="exact"/>
        <w:ind w:left="630"/>
        <w:rPr>
          <w:rFonts w:hint="eastAsia" w:ascii="Times New Roman" w:hAnsi="Times New Roman" w:eastAsia="仿宋_GB2312"/>
          <w:sz w:val="32"/>
          <w:szCs w:val="32"/>
        </w:rPr>
      </w:pPr>
    </w:p>
    <w:p>
      <w:pPr>
        <w:spacing w:line="560" w:lineRule="exact"/>
        <w:ind w:left="630"/>
        <w:jc w:val="right"/>
        <w:rPr>
          <w:rFonts w:hint="eastAsia" w:ascii="Times New Roman" w:hAnsi="Times New Roman" w:eastAsia="仿宋_GB2312"/>
          <w:sz w:val="32"/>
          <w:szCs w:val="32"/>
        </w:rPr>
      </w:pPr>
    </w:p>
    <w:p>
      <w:pPr>
        <w:spacing w:line="560" w:lineRule="exact"/>
        <w:ind w:left="63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12</w:t>
      </w:r>
      <w:r>
        <w:rPr>
          <w:rFonts w:ascii="Times New Roman" w:hAnsi="Times New Roman" w:eastAsia="仿宋_GB2312"/>
          <w:sz w:val="32"/>
          <w:szCs w:val="32"/>
        </w:rPr>
        <w:t>日</w:t>
      </w: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eastAsia="仿宋_GB2312"/>
          <w:sz w:val="32"/>
          <w:szCs w:val="32"/>
        </w:rPr>
      </w:pPr>
    </w:p>
    <w:p>
      <w:pPr>
        <w:suppressAutoHyphens/>
        <w:adjustRightInd w:val="0"/>
        <w:spacing w:line="560" w:lineRule="exact"/>
        <w:ind w:firstLine="640" w:firstLineChars="200"/>
        <w:jc w:val="center"/>
        <w:rPr>
          <w:rFonts w:hint="eastAsia" w:ascii="Times New Roman" w:hAnsi="Times New Roman" w:eastAsia="仿宋_GB2312"/>
          <w:sz w:val="32"/>
          <w:szCs w:val="32"/>
        </w:rPr>
      </w:pPr>
      <w:bookmarkStart w:id="0" w:name="_GoBack"/>
      <w:bookmarkEnd w:id="0"/>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ascii="仿宋_GB2312" w:hAnsi="Times New Roman" w:eastAsia="仿宋_GB2312"/>
          <w:sz w:val="28"/>
          <w:szCs w:val="28"/>
        </w:rPr>
        <w:t>云南省生态环境厅。市生态环境局</w:t>
      </w:r>
      <w:r>
        <w:rPr>
          <w:rFonts w:hint="eastAsia" w:ascii="仿宋_GB2312" w:hAnsi="Times New Roman" w:eastAsia="仿宋_GB2312"/>
          <w:sz w:val="28"/>
          <w:szCs w:val="28"/>
        </w:rPr>
        <w:t>富民</w:t>
      </w:r>
      <w:r>
        <w:rPr>
          <w:rFonts w:ascii="仿宋_GB2312" w:hAnsi="Times New Roman" w:eastAsia="仿宋_GB2312"/>
          <w:sz w:val="28"/>
          <w:szCs w:val="28"/>
        </w:rPr>
        <w:t>分局，局机关各处室、各直属单位。云南湖柏环保科技有限公司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5D02"/>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492"/>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1889"/>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457"/>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D72"/>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E49"/>
    <w:rsid w:val="00304FB1"/>
    <w:rsid w:val="00307A4B"/>
    <w:rsid w:val="003103E1"/>
    <w:rsid w:val="00311D42"/>
    <w:rsid w:val="0031292B"/>
    <w:rsid w:val="003142E5"/>
    <w:rsid w:val="003144B8"/>
    <w:rsid w:val="00315570"/>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7E5"/>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454C"/>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433"/>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753D7"/>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49A"/>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411"/>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4D79"/>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B69"/>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45B"/>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244"/>
    <w:rsid w:val="00AF7C90"/>
    <w:rsid w:val="00B00A2F"/>
    <w:rsid w:val="00B0130E"/>
    <w:rsid w:val="00B02F6D"/>
    <w:rsid w:val="00B03AD6"/>
    <w:rsid w:val="00B04B7A"/>
    <w:rsid w:val="00B06027"/>
    <w:rsid w:val="00B06D8C"/>
    <w:rsid w:val="00B100CF"/>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4047"/>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B3A"/>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5CE8"/>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2463B"/>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90381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2026-02-12T04:16:00Z</dcterms:created>
  <dc:creator>李敏</dc:creator>
  <cp:lastModifiedBy>李敏</cp:lastModifiedBy>
  <dcterms:modified xsi:type="dcterms:W3CDTF">2026-02-12T05:22:42Z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