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84"/>
          <w:szCs w:val="84"/>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bookmarkStart w:id="0" w:name="_GoBack"/>
      <w:r>
        <w:rPr>
          <w:rFonts w:ascii="Times New Roman" w:hAnsi="Times New Roman" w:eastAsia="仿宋_GB2312"/>
          <w:color w:val="000000"/>
          <w:sz w:val="32"/>
        </w:rPr>
        <w:t>昆生环复〔2026〕10-</w:t>
      </w:r>
      <w:r>
        <w:rPr>
          <w:rFonts w:hint="eastAsia" w:ascii="Times New Roman" w:hAnsi="Times New Roman" w:eastAsia="仿宋_GB2312"/>
          <w:color w:val="000000"/>
          <w:sz w:val="32"/>
        </w:rPr>
        <w:t>10</w:t>
      </w:r>
      <w:r>
        <w:rPr>
          <w:rFonts w:ascii="Times New Roman" w:hAnsi="Times New Roman" w:eastAsia="仿宋_GB2312"/>
          <w:color w:val="000000"/>
          <w:sz w:val="32"/>
        </w:rPr>
        <w:t>号</w:t>
      </w:r>
    </w:p>
    <w:bookmarkEnd w:id="0"/>
    <w:p>
      <w:pPr>
        <w:jc w:val="center"/>
        <w:rPr>
          <w:rFonts w:ascii="Times New Roman" w:hAnsi="Times New Roman" w:eastAsia="仿宋_GB2312"/>
          <w:color w:val="000000"/>
          <w:sz w:val="32"/>
        </w:rPr>
      </w:pPr>
    </w:p>
    <w:p>
      <w:pPr>
        <w:rPr>
          <w:rFonts w:ascii="Times New Roman" w:hAnsi="Times New Roman"/>
          <w:sz w:val="32"/>
          <w:szCs w:val="32"/>
        </w:rPr>
      </w:pPr>
    </w:p>
    <w:p>
      <w:pPr>
        <w:autoSpaceDE w:val="0"/>
        <w:adjustRightInd w:val="0"/>
        <w:snapToGrid w:val="0"/>
        <w:spacing w:line="700" w:lineRule="exact"/>
        <w:jc w:val="center"/>
        <w:rPr>
          <w:rFonts w:ascii="Times New Roman" w:hAnsi="Times New Roman" w:eastAsia="方正小标宋简体"/>
          <w:color w:val="000000"/>
          <w:sz w:val="44"/>
          <w:szCs w:val="44"/>
        </w:rPr>
      </w:pPr>
      <w:r>
        <w:rPr>
          <w:rFonts w:ascii="方正小标宋简体" w:hAnsi="方正小标宋简体" w:eastAsia="方正小标宋简体"/>
          <w:color w:val="000000"/>
          <w:sz w:val="44"/>
          <w:szCs w:val="44"/>
        </w:rPr>
        <w:t>昆明市生态环境局</w:t>
      </w:r>
    </w:p>
    <w:p>
      <w:pPr>
        <w:autoSpaceDE w:val="0"/>
        <w:adjustRightInd w:val="0"/>
        <w:snapToGrid w:val="0"/>
        <w:spacing w:line="700" w:lineRule="exact"/>
        <w:jc w:val="center"/>
        <w:rPr>
          <w:rFonts w:ascii="Times New Roman" w:hAnsi="Times New Roman" w:eastAsia="方正小标宋简体"/>
          <w:color w:val="000000"/>
          <w:sz w:val="44"/>
          <w:szCs w:val="44"/>
        </w:rPr>
      </w:pPr>
      <w:r>
        <w:rPr>
          <w:rFonts w:ascii="方正小标宋简体" w:hAnsi="方正小标宋简体" w:eastAsia="方正小标宋简体"/>
          <w:color w:val="000000"/>
          <w:sz w:val="44"/>
          <w:szCs w:val="44"/>
        </w:rPr>
        <w:t>关于《</w:t>
      </w:r>
      <w:r>
        <w:rPr>
          <w:rFonts w:ascii="方正小标宋简体" w:hAnsi="方正小标宋简体" w:eastAsia="方正小标宋简体"/>
          <w:sz w:val="44"/>
          <w:szCs w:val="44"/>
        </w:rPr>
        <w:t>云南滇味奇食品有限公司绿色食品精深加工及调味料生产项目环境影响报告表</w:t>
      </w:r>
      <w:r>
        <w:rPr>
          <w:rFonts w:ascii="方正小标宋简体" w:hAnsi="方正小标宋简体" w:eastAsia="方正小标宋简体"/>
          <w:color w:val="000000"/>
          <w:sz w:val="44"/>
          <w:szCs w:val="44"/>
        </w:rPr>
        <w:t>》</w:t>
      </w:r>
    </w:p>
    <w:p>
      <w:pPr>
        <w:autoSpaceDE w:val="0"/>
        <w:adjustRightInd w:val="0"/>
        <w:snapToGrid w:val="0"/>
        <w:spacing w:line="700" w:lineRule="exact"/>
        <w:jc w:val="center"/>
        <w:rPr>
          <w:rFonts w:ascii="Times New Roman" w:hAnsi="Times New Roman" w:eastAsia="方正小标宋简体"/>
          <w:color w:val="000000"/>
          <w:sz w:val="44"/>
          <w:szCs w:val="44"/>
        </w:rPr>
      </w:pPr>
      <w:r>
        <w:rPr>
          <w:rFonts w:ascii="方正小标宋简体" w:hAnsi="方正小标宋简体" w:eastAsia="方正小标宋简体"/>
          <w:color w:val="000000"/>
          <w:sz w:val="44"/>
          <w:szCs w:val="44"/>
        </w:rPr>
        <w:t>的批复</w:t>
      </w:r>
    </w:p>
    <w:p>
      <w:pPr>
        <w:spacing w:line="70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autoSpaceDE w:val="0"/>
        <w:adjustRightInd w:val="0"/>
        <w:snapToGrid w:val="0"/>
        <w:spacing w:line="560" w:lineRule="exact"/>
        <w:rPr>
          <w:rFonts w:ascii="Times New Roman" w:hAnsi="Times New Roman" w:eastAsia="仿宋_GB2312"/>
          <w:color w:val="000000"/>
          <w:sz w:val="32"/>
          <w:szCs w:val="32"/>
        </w:rPr>
      </w:pPr>
      <w:r>
        <w:rPr>
          <w:rFonts w:ascii="仿宋_GB2312" w:hAnsi="Times New Roman" w:eastAsia="仿宋_GB2312"/>
          <w:sz w:val="32"/>
          <w:szCs w:val="32"/>
        </w:rPr>
        <w:t>云南滇味奇食品有限公司</w:t>
      </w:r>
      <w:r>
        <w:rPr>
          <w:rFonts w:ascii="Times New Roman" w:hAnsi="Times New Roman" w:eastAsia="仿宋_GB2312"/>
          <w:color w:val="000000"/>
          <w:sz w:val="32"/>
          <w:szCs w:val="32"/>
        </w:rPr>
        <w:t>:</w:t>
      </w:r>
    </w:p>
    <w:p>
      <w:pPr>
        <w:autoSpaceDE w:val="0"/>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你单位委托云南策润环保科技有限公司编制的《云南滇味奇食品有限公司绿色食品精深加工及调味料生产项目环境影响报告表》（以下简称《报告表》，项目代码：</w:t>
      </w:r>
      <w:r>
        <w:rPr>
          <w:rFonts w:ascii="Times New Roman" w:hAnsi="Times New Roman" w:eastAsia="仿宋_GB2312"/>
          <w:sz w:val="32"/>
          <w:szCs w:val="32"/>
        </w:rPr>
        <w:t>2510-530127-04-01-505649</w:t>
      </w:r>
      <w:r>
        <w:rPr>
          <w:rFonts w:ascii="仿宋_GB2312" w:hAnsi="Times New Roman" w:eastAsia="仿宋_GB2312"/>
          <w:sz w:val="32"/>
          <w:szCs w:val="32"/>
        </w:rPr>
        <w:t>）收悉。根据《中华人民共和国环境影响评价法》第二十二条、《建设项目环境保护管理条例》第九条，经研究，批复如下：</w:t>
      </w:r>
    </w:p>
    <w:p>
      <w:pPr>
        <w:autoSpaceDE w:val="0"/>
        <w:adjustRightInd w:val="0"/>
        <w:snapToGrid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一、项目建设地点位于</w:t>
      </w:r>
      <w:r>
        <w:rPr>
          <w:rFonts w:ascii="仿宋_GB2312" w:hAnsi="Times New Roman" w:eastAsia="仿宋_GB2312"/>
          <w:color w:val="000000"/>
          <w:sz w:val="32"/>
          <w:szCs w:val="32"/>
        </w:rPr>
        <w:t>云南省昆明市嵩明县杨林经济技术开发区金麦路西侧，总占地面积为</w:t>
      </w:r>
      <w:r>
        <w:rPr>
          <w:rFonts w:ascii="Times New Roman" w:hAnsi="Times New Roman" w:eastAsia="仿宋_GB2312"/>
          <w:color w:val="000000"/>
          <w:sz w:val="32"/>
          <w:szCs w:val="32"/>
        </w:rPr>
        <w:t>9838m</w:t>
      </w:r>
      <w:r>
        <w:rPr>
          <w:rFonts w:ascii="Times New Roman" w:hAnsi="Times New Roman" w:eastAsia="仿宋_GB2312"/>
          <w:kern w:val="0"/>
          <w:sz w:val="32"/>
          <w:szCs w:val="32"/>
          <w:vertAlign w:val="superscript"/>
        </w:rPr>
        <w:t>2</w:t>
      </w:r>
      <w:r>
        <w:rPr>
          <w:rFonts w:ascii="仿宋_GB2312" w:hAnsi="Times New Roman" w:eastAsia="仿宋_GB2312"/>
          <w:color w:val="000000"/>
          <w:sz w:val="32"/>
          <w:szCs w:val="32"/>
        </w:rPr>
        <w:t>。</w:t>
      </w:r>
      <w:r>
        <w:rPr>
          <w:rFonts w:hint="eastAsia" w:ascii="仿宋_GB2312" w:hAnsi="Times New Roman" w:eastAsia="仿宋_GB2312"/>
          <w:color w:val="000000"/>
          <w:sz w:val="32"/>
          <w:szCs w:val="32"/>
        </w:rPr>
        <w:t>项目</w:t>
      </w:r>
      <w:r>
        <w:rPr>
          <w:rFonts w:ascii="仿宋_GB2312" w:hAnsi="Times New Roman" w:eastAsia="仿宋_GB2312"/>
          <w:color w:val="000000"/>
          <w:sz w:val="32"/>
          <w:szCs w:val="32"/>
        </w:rPr>
        <w:t>新建固态调味料车间、半固态复合调味料车间、混合分装类车间、鸡精车间、玫瑰糖车间、杂粮车间、原辅料堆存车间、成品库、综合楼等配套基础设施。设置混合分装类生产线</w:t>
      </w:r>
      <w:r>
        <w:rPr>
          <w:rFonts w:ascii="Times New Roman" w:hAnsi="Times New Roman" w:eastAsia="仿宋_GB2312"/>
          <w:color w:val="000000"/>
          <w:sz w:val="32"/>
          <w:szCs w:val="32"/>
        </w:rPr>
        <w:t>1</w:t>
      </w:r>
      <w:r>
        <w:rPr>
          <w:rFonts w:ascii="仿宋_GB2312" w:hAnsi="Times New Roman" w:eastAsia="仿宋_GB2312"/>
          <w:color w:val="000000"/>
          <w:sz w:val="32"/>
          <w:szCs w:val="32"/>
        </w:rPr>
        <w:t>条、半固态复合调味料生产线</w:t>
      </w:r>
      <w:r>
        <w:rPr>
          <w:rFonts w:ascii="Times New Roman" w:hAnsi="Times New Roman" w:eastAsia="仿宋_GB2312"/>
          <w:color w:val="000000"/>
          <w:sz w:val="32"/>
          <w:szCs w:val="32"/>
        </w:rPr>
        <w:t>1</w:t>
      </w:r>
      <w:r>
        <w:rPr>
          <w:rFonts w:ascii="仿宋_GB2312" w:hAnsi="Times New Roman" w:eastAsia="仿宋_GB2312"/>
          <w:color w:val="000000"/>
          <w:sz w:val="32"/>
          <w:szCs w:val="32"/>
        </w:rPr>
        <w:t>条、鸡精生产线</w:t>
      </w:r>
      <w:r>
        <w:rPr>
          <w:rFonts w:ascii="Times New Roman" w:hAnsi="Times New Roman" w:eastAsia="仿宋_GB2312"/>
          <w:color w:val="000000"/>
          <w:sz w:val="32"/>
          <w:szCs w:val="32"/>
        </w:rPr>
        <w:t>1</w:t>
      </w:r>
      <w:r>
        <w:rPr>
          <w:rFonts w:ascii="仿宋_GB2312" w:hAnsi="Times New Roman" w:eastAsia="仿宋_GB2312"/>
          <w:color w:val="000000"/>
          <w:sz w:val="32"/>
          <w:szCs w:val="32"/>
        </w:rPr>
        <w:t>条、杂粮加工生产线</w:t>
      </w:r>
      <w:r>
        <w:rPr>
          <w:rFonts w:ascii="Times New Roman" w:hAnsi="Times New Roman" w:eastAsia="仿宋_GB2312"/>
          <w:color w:val="000000"/>
          <w:sz w:val="32"/>
          <w:szCs w:val="32"/>
        </w:rPr>
        <w:t>4</w:t>
      </w:r>
      <w:r>
        <w:rPr>
          <w:rFonts w:ascii="仿宋_GB2312" w:hAnsi="Times New Roman" w:eastAsia="仿宋_GB2312"/>
          <w:color w:val="000000"/>
          <w:sz w:val="32"/>
          <w:szCs w:val="32"/>
        </w:rPr>
        <w:t>条、固态调味料生产线</w:t>
      </w:r>
      <w:r>
        <w:rPr>
          <w:rFonts w:ascii="Times New Roman" w:hAnsi="Times New Roman" w:eastAsia="仿宋_GB2312"/>
          <w:color w:val="000000"/>
          <w:sz w:val="32"/>
          <w:szCs w:val="32"/>
        </w:rPr>
        <w:t>1</w:t>
      </w:r>
      <w:r>
        <w:rPr>
          <w:rFonts w:ascii="仿宋_GB2312" w:hAnsi="Times New Roman" w:eastAsia="仿宋_GB2312"/>
          <w:color w:val="000000"/>
          <w:sz w:val="32"/>
          <w:szCs w:val="32"/>
        </w:rPr>
        <w:t>条、玫瑰糖生产线</w:t>
      </w:r>
      <w:r>
        <w:rPr>
          <w:rFonts w:ascii="Times New Roman" w:hAnsi="Times New Roman" w:eastAsia="仿宋_GB2312"/>
          <w:color w:val="000000"/>
          <w:sz w:val="32"/>
          <w:szCs w:val="32"/>
        </w:rPr>
        <w:t>1</w:t>
      </w:r>
      <w:r>
        <w:rPr>
          <w:rFonts w:ascii="仿宋_GB2312" w:hAnsi="Times New Roman" w:eastAsia="仿宋_GB2312"/>
          <w:color w:val="000000"/>
          <w:sz w:val="32"/>
          <w:szCs w:val="32"/>
        </w:rPr>
        <w:t>条。项目建成后年产量为杂粮产品</w:t>
      </w:r>
      <w:r>
        <w:rPr>
          <w:rFonts w:ascii="Times New Roman" w:hAnsi="Times New Roman" w:eastAsia="仿宋_GB2312"/>
          <w:color w:val="000000"/>
          <w:sz w:val="32"/>
          <w:szCs w:val="32"/>
        </w:rPr>
        <w:t>6900t/a</w:t>
      </w:r>
      <w:r>
        <w:rPr>
          <w:rFonts w:ascii="仿宋_GB2312" w:hAnsi="Times New Roman" w:eastAsia="仿宋_GB2312"/>
          <w:color w:val="000000"/>
          <w:sz w:val="32"/>
          <w:szCs w:val="32"/>
        </w:rPr>
        <w:t>，其中苦荞粉</w:t>
      </w:r>
      <w:r>
        <w:rPr>
          <w:rFonts w:ascii="Times New Roman" w:hAnsi="Times New Roman" w:eastAsia="仿宋_GB2312"/>
          <w:color w:val="000000"/>
          <w:sz w:val="32"/>
          <w:szCs w:val="32"/>
        </w:rPr>
        <w:t>2500t/a</w:t>
      </w:r>
      <w:r>
        <w:rPr>
          <w:rFonts w:ascii="仿宋_GB2312" w:hAnsi="Times New Roman" w:eastAsia="仿宋_GB2312"/>
          <w:color w:val="000000"/>
          <w:sz w:val="32"/>
          <w:szCs w:val="32"/>
        </w:rPr>
        <w:t>、玉米粒</w:t>
      </w:r>
      <w:r>
        <w:rPr>
          <w:rFonts w:ascii="Times New Roman" w:hAnsi="Times New Roman" w:eastAsia="仿宋_GB2312"/>
          <w:color w:val="000000"/>
          <w:sz w:val="32"/>
          <w:szCs w:val="32"/>
        </w:rPr>
        <w:t>1600t/a</w:t>
      </w:r>
      <w:r>
        <w:rPr>
          <w:rFonts w:ascii="仿宋_GB2312" w:hAnsi="Times New Roman" w:eastAsia="仿宋_GB2312"/>
          <w:color w:val="000000"/>
          <w:sz w:val="32"/>
          <w:szCs w:val="32"/>
        </w:rPr>
        <w:t>、玉米粉</w:t>
      </w:r>
      <w:r>
        <w:rPr>
          <w:rFonts w:ascii="Times New Roman" w:hAnsi="Times New Roman" w:eastAsia="仿宋_GB2312"/>
          <w:color w:val="000000"/>
          <w:sz w:val="32"/>
          <w:szCs w:val="32"/>
        </w:rPr>
        <w:t>400t/a</w:t>
      </w:r>
      <w:r>
        <w:rPr>
          <w:rFonts w:ascii="仿宋_GB2312" w:hAnsi="Times New Roman" w:eastAsia="仿宋_GB2312"/>
          <w:color w:val="000000"/>
          <w:sz w:val="32"/>
          <w:szCs w:val="32"/>
        </w:rPr>
        <w:t>、黄豆粉</w:t>
      </w:r>
      <w:r>
        <w:rPr>
          <w:rFonts w:ascii="Times New Roman" w:hAnsi="Times New Roman" w:eastAsia="仿宋_GB2312"/>
          <w:color w:val="000000"/>
          <w:sz w:val="32"/>
          <w:szCs w:val="32"/>
        </w:rPr>
        <w:t>700t/a</w:t>
      </w:r>
      <w:r>
        <w:rPr>
          <w:rFonts w:ascii="仿宋_GB2312" w:hAnsi="Times New Roman" w:eastAsia="仿宋_GB2312"/>
          <w:color w:val="000000"/>
          <w:sz w:val="32"/>
          <w:szCs w:val="32"/>
        </w:rPr>
        <w:t>、豌豆粉</w:t>
      </w:r>
      <w:r>
        <w:rPr>
          <w:rFonts w:ascii="Times New Roman" w:hAnsi="Times New Roman" w:eastAsia="仿宋_GB2312"/>
          <w:color w:val="000000"/>
          <w:sz w:val="32"/>
          <w:szCs w:val="32"/>
        </w:rPr>
        <w:t>1100t/a</w:t>
      </w:r>
      <w:r>
        <w:rPr>
          <w:rFonts w:ascii="仿宋_GB2312" w:hAnsi="Times New Roman" w:eastAsia="仿宋_GB2312"/>
          <w:color w:val="000000"/>
          <w:sz w:val="32"/>
          <w:szCs w:val="32"/>
        </w:rPr>
        <w:t>、高粱粉</w:t>
      </w:r>
      <w:r>
        <w:rPr>
          <w:rFonts w:ascii="Times New Roman" w:hAnsi="Times New Roman" w:eastAsia="仿宋_GB2312"/>
          <w:color w:val="000000"/>
          <w:sz w:val="32"/>
          <w:szCs w:val="32"/>
        </w:rPr>
        <w:t>400t/a</w:t>
      </w:r>
      <w:r>
        <w:rPr>
          <w:rFonts w:ascii="仿宋_GB2312" w:hAnsi="Times New Roman" w:eastAsia="仿宋_GB2312"/>
          <w:color w:val="000000"/>
          <w:sz w:val="32"/>
          <w:szCs w:val="32"/>
        </w:rPr>
        <w:t>、苦荞饭</w:t>
      </w:r>
      <w:r>
        <w:rPr>
          <w:rFonts w:ascii="Times New Roman" w:hAnsi="Times New Roman" w:eastAsia="仿宋_GB2312"/>
          <w:color w:val="000000"/>
          <w:sz w:val="32"/>
          <w:szCs w:val="32"/>
        </w:rPr>
        <w:t>200t/a</w:t>
      </w:r>
      <w:r>
        <w:rPr>
          <w:rFonts w:ascii="仿宋_GB2312" w:hAnsi="Times New Roman" w:eastAsia="仿宋_GB2312"/>
          <w:color w:val="000000"/>
          <w:sz w:val="32"/>
          <w:szCs w:val="32"/>
        </w:rPr>
        <w:t>；固态调味料</w:t>
      </w:r>
      <w:r>
        <w:rPr>
          <w:rFonts w:ascii="Times New Roman" w:hAnsi="Times New Roman" w:eastAsia="仿宋_GB2312"/>
          <w:color w:val="000000"/>
          <w:sz w:val="32"/>
          <w:szCs w:val="32"/>
        </w:rPr>
        <w:t>800t/a</w:t>
      </w:r>
      <w:r>
        <w:rPr>
          <w:rFonts w:ascii="仿宋_GB2312" w:hAnsi="Times New Roman" w:eastAsia="仿宋_GB2312"/>
          <w:color w:val="000000"/>
          <w:sz w:val="32"/>
          <w:szCs w:val="32"/>
        </w:rPr>
        <w:t>，其中辣椒面</w:t>
      </w:r>
      <w:r>
        <w:rPr>
          <w:rFonts w:ascii="Times New Roman" w:hAnsi="Times New Roman" w:eastAsia="仿宋_GB2312"/>
          <w:color w:val="000000"/>
          <w:sz w:val="32"/>
          <w:szCs w:val="32"/>
        </w:rPr>
        <w:t>500t/a</w:t>
      </w:r>
      <w:r>
        <w:rPr>
          <w:rFonts w:ascii="仿宋_GB2312" w:hAnsi="Times New Roman" w:eastAsia="仿宋_GB2312"/>
          <w:color w:val="000000"/>
          <w:sz w:val="32"/>
          <w:szCs w:val="32"/>
        </w:rPr>
        <w:t>、调味粉</w:t>
      </w:r>
      <w:r>
        <w:rPr>
          <w:rFonts w:ascii="Times New Roman" w:hAnsi="Times New Roman" w:eastAsia="仿宋_GB2312"/>
          <w:color w:val="000000"/>
          <w:sz w:val="32"/>
          <w:szCs w:val="32"/>
        </w:rPr>
        <w:t>300t/a</w:t>
      </w:r>
      <w:r>
        <w:rPr>
          <w:rFonts w:ascii="仿宋_GB2312" w:hAnsi="Times New Roman" w:eastAsia="仿宋_GB2312"/>
          <w:color w:val="000000"/>
          <w:sz w:val="32"/>
          <w:szCs w:val="32"/>
        </w:rPr>
        <w:t>；混合分装类</w:t>
      </w:r>
      <w:r>
        <w:rPr>
          <w:rFonts w:ascii="Times New Roman" w:hAnsi="Times New Roman" w:eastAsia="仿宋_GB2312"/>
          <w:color w:val="000000"/>
          <w:sz w:val="32"/>
          <w:szCs w:val="32"/>
        </w:rPr>
        <w:t>1300t/a</w:t>
      </w:r>
      <w:r>
        <w:rPr>
          <w:rFonts w:ascii="仿宋_GB2312" w:hAnsi="Times New Roman" w:eastAsia="仿宋_GB2312"/>
          <w:color w:val="000000"/>
          <w:sz w:val="32"/>
          <w:szCs w:val="32"/>
        </w:rPr>
        <w:t>，其中白糖</w:t>
      </w:r>
      <w:r>
        <w:rPr>
          <w:rFonts w:ascii="Times New Roman" w:hAnsi="Times New Roman" w:eastAsia="仿宋_GB2312"/>
          <w:color w:val="000000"/>
          <w:sz w:val="32"/>
          <w:szCs w:val="32"/>
        </w:rPr>
        <w:t>250t/a</w:t>
      </w:r>
      <w:r>
        <w:rPr>
          <w:rFonts w:ascii="仿宋_GB2312" w:hAnsi="Times New Roman" w:eastAsia="仿宋_GB2312"/>
          <w:color w:val="000000"/>
          <w:sz w:val="32"/>
          <w:szCs w:val="32"/>
        </w:rPr>
        <w:t>、红砂糖</w:t>
      </w:r>
      <w:r>
        <w:rPr>
          <w:rFonts w:ascii="Times New Roman" w:hAnsi="Times New Roman" w:eastAsia="仿宋_GB2312"/>
          <w:color w:val="000000"/>
          <w:sz w:val="32"/>
          <w:szCs w:val="32"/>
        </w:rPr>
        <w:t>500t/a</w:t>
      </w:r>
      <w:r>
        <w:rPr>
          <w:rFonts w:ascii="仿宋_GB2312" w:hAnsi="Times New Roman" w:eastAsia="仿宋_GB2312"/>
          <w:color w:val="000000"/>
          <w:sz w:val="32"/>
          <w:szCs w:val="32"/>
        </w:rPr>
        <w:t>、小苏打</w:t>
      </w:r>
      <w:r>
        <w:rPr>
          <w:rFonts w:ascii="Times New Roman" w:hAnsi="Times New Roman" w:eastAsia="仿宋_GB2312"/>
          <w:color w:val="000000"/>
          <w:sz w:val="32"/>
          <w:szCs w:val="32"/>
        </w:rPr>
        <w:t>50t/a</w:t>
      </w:r>
      <w:r>
        <w:rPr>
          <w:rFonts w:ascii="仿宋_GB2312" w:hAnsi="Times New Roman" w:eastAsia="仿宋_GB2312"/>
          <w:color w:val="000000"/>
          <w:sz w:val="32"/>
          <w:szCs w:val="32"/>
        </w:rPr>
        <w:t>、碳酸钠</w:t>
      </w:r>
      <w:r>
        <w:rPr>
          <w:rFonts w:ascii="Times New Roman" w:hAnsi="Times New Roman" w:eastAsia="仿宋_GB2312"/>
          <w:color w:val="000000"/>
          <w:sz w:val="32"/>
          <w:szCs w:val="32"/>
        </w:rPr>
        <w:t>50t/a</w:t>
      </w:r>
      <w:r>
        <w:rPr>
          <w:rFonts w:ascii="仿宋_GB2312" w:hAnsi="Times New Roman" w:eastAsia="仿宋_GB2312"/>
          <w:color w:val="000000"/>
          <w:sz w:val="32"/>
          <w:szCs w:val="32"/>
        </w:rPr>
        <w:t>、玉米淀粉</w:t>
      </w:r>
      <w:r>
        <w:rPr>
          <w:rFonts w:ascii="Times New Roman" w:hAnsi="Times New Roman" w:eastAsia="仿宋_GB2312"/>
          <w:color w:val="000000"/>
          <w:sz w:val="32"/>
          <w:szCs w:val="32"/>
        </w:rPr>
        <w:t>150t/a</w:t>
      </w:r>
      <w:r>
        <w:rPr>
          <w:rFonts w:ascii="仿宋_GB2312" w:hAnsi="Times New Roman" w:eastAsia="仿宋_GB2312"/>
          <w:color w:val="000000"/>
          <w:sz w:val="32"/>
          <w:szCs w:val="32"/>
        </w:rPr>
        <w:t>、小麦粉</w:t>
      </w:r>
      <w:r>
        <w:rPr>
          <w:rFonts w:ascii="Times New Roman" w:hAnsi="Times New Roman" w:eastAsia="仿宋_GB2312"/>
          <w:color w:val="000000"/>
          <w:sz w:val="32"/>
          <w:szCs w:val="32"/>
        </w:rPr>
        <w:t>200t/a</w:t>
      </w:r>
      <w:r>
        <w:rPr>
          <w:rFonts w:ascii="仿宋_GB2312" w:hAnsi="Times New Roman" w:eastAsia="仿宋_GB2312"/>
          <w:color w:val="000000"/>
          <w:sz w:val="32"/>
          <w:szCs w:val="32"/>
        </w:rPr>
        <w:t>、味精</w:t>
      </w:r>
      <w:r>
        <w:rPr>
          <w:rFonts w:ascii="Times New Roman" w:hAnsi="Times New Roman" w:eastAsia="仿宋_GB2312"/>
          <w:color w:val="000000"/>
          <w:sz w:val="32"/>
          <w:szCs w:val="32"/>
        </w:rPr>
        <w:t>100t/a</w:t>
      </w:r>
      <w:r>
        <w:rPr>
          <w:rFonts w:ascii="仿宋_GB2312" w:hAnsi="Times New Roman" w:eastAsia="仿宋_GB2312"/>
          <w:color w:val="000000"/>
          <w:sz w:val="32"/>
          <w:szCs w:val="32"/>
        </w:rPr>
        <w:t>；玫瑰糖</w:t>
      </w:r>
      <w:r>
        <w:rPr>
          <w:rFonts w:ascii="Times New Roman" w:hAnsi="Times New Roman" w:eastAsia="仿宋_GB2312"/>
          <w:color w:val="000000"/>
          <w:sz w:val="32"/>
          <w:szCs w:val="32"/>
        </w:rPr>
        <w:t>20t/a</w:t>
      </w:r>
      <w:r>
        <w:rPr>
          <w:rFonts w:ascii="仿宋_GB2312" w:hAnsi="Times New Roman" w:eastAsia="仿宋_GB2312"/>
          <w:color w:val="000000"/>
          <w:sz w:val="32"/>
          <w:szCs w:val="32"/>
        </w:rPr>
        <w:t>；鸡精</w:t>
      </w:r>
      <w:r>
        <w:rPr>
          <w:rFonts w:ascii="Times New Roman" w:hAnsi="Times New Roman" w:eastAsia="仿宋_GB2312"/>
          <w:color w:val="000000"/>
          <w:sz w:val="32"/>
          <w:szCs w:val="32"/>
        </w:rPr>
        <w:t>300t/a</w:t>
      </w:r>
      <w:r>
        <w:rPr>
          <w:rFonts w:ascii="仿宋_GB2312" w:hAnsi="Times New Roman" w:eastAsia="仿宋_GB2312"/>
          <w:color w:val="000000"/>
          <w:sz w:val="32"/>
          <w:szCs w:val="32"/>
        </w:rPr>
        <w:t>；半固态复合调味料</w:t>
      </w:r>
      <w:r>
        <w:rPr>
          <w:rFonts w:ascii="Times New Roman" w:hAnsi="Times New Roman" w:eastAsia="仿宋_GB2312"/>
          <w:color w:val="000000"/>
          <w:sz w:val="32"/>
          <w:szCs w:val="32"/>
        </w:rPr>
        <w:t>30t/a</w:t>
      </w:r>
      <w:r>
        <w:rPr>
          <w:rFonts w:ascii="仿宋_GB2312" w:hAnsi="Times New Roman" w:eastAsia="仿宋_GB2312"/>
          <w:color w:val="000000"/>
          <w:sz w:val="32"/>
          <w:szCs w:val="32"/>
        </w:rPr>
        <w:t>。</w:t>
      </w:r>
    </w:p>
    <w:p>
      <w:pPr>
        <w:autoSpaceDE w:val="0"/>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w:t>
      </w:r>
      <w:r>
        <w:rPr>
          <w:rFonts w:ascii="仿宋_GB2312" w:hAnsi="Times New Roman" w:eastAsia="仿宋_GB2312"/>
          <w:color w:val="000000"/>
          <w:sz w:val="32"/>
          <w:szCs w:val="32"/>
        </w:rPr>
        <w:t>总投资</w:t>
      </w:r>
      <w:r>
        <w:rPr>
          <w:rFonts w:ascii="Times New Roman" w:hAnsi="Times New Roman" w:eastAsia="仿宋_GB2312"/>
          <w:color w:val="000000"/>
          <w:sz w:val="32"/>
          <w:szCs w:val="32"/>
        </w:rPr>
        <w:t>1200</w:t>
      </w:r>
      <w:r>
        <w:rPr>
          <w:rFonts w:ascii="仿宋_GB2312" w:hAnsi="Times New Roman" w:eastAsia="仿宋_GB2312"/>
          <w:color w:val="000000"/>
          <w:sz w:val="32"/>
          <w:szCs w:val="32"/>
        </w:rPr>
        <w:t>万元，其中环保投资</w:t>
      </w:r>
      <w:r>
        <w:rPr>
          <w:rFonts w:ascii="Times New Roman" w:hAnsi="Times New Roman" w:eastAsia="仿宋_GB2312"/>
          <w:color w:val="000000"/>
          <w:sz w:val="32"/>
          <w:szCs w:val="32"/>
        </w:rPr>
        <w:t>108.77</w:t>
      </w:r>
      <w:r>
        <w:rPr>
          <w:rFonts w:ascii="仿宋_GB2312" w:hAnsi="Times New Roman" w:eastAsia="仿宋_GB2312"/>
          <w:color w:val="000000"/>
          <w:sz w:val="32"/>
          <w:szCs w:val="32"/>
        </w:rPr>
        <w:t>万元。</w:t>
      </w:r>
    </w:p>
    <w:p>
      <w:pPr>
        <w:autoSpaceDE w:val="0"/>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根据昆明市生态环境工程评估中心出具的《关于对〈云南滇味奇食品有限公司绿色食品精深加工及调味料生产项目环境影响报告表〉的技术评估意见》（昆环评估意见〔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10-4</w:t>
      </w:r>
      <w:r>
        <w:rPr>
          <w:rFonts w:ascii="仿宋_GB2312" w:hAnsi="Times New Roman" w:eastAsia="仿宋_GB2312"/>
          <w:sz w:val="32"/>
          <w:szCs w:val="32"/>
        </w:rPr>
        <w:t>号），在全面落实《报告表》提出的各项生态保护和污染防治措施后，项目建设和运营的不良环境影响可以得到缓解和控制，同意该项目按照《报告表》所述工程内容、规模、功能、环保对策措施进行建设。</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二、项目建设及运营期间重点做好以下工作</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（一）严格按照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autoSpaceDE w:val="0"/>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项目运营期项目食堂废水经油水分离器预处理后与其他生活污水一起进入化粪池处理达《污水综合排放标准》（</w:t>
      </w:r>
      <w:r>
        <w:rPr>
          <w:rFonts w:ascii="Times New Roman" w:hAnsi="Times New Roman" w:eastAsia="仿宋_GB2312"/>
          <w:sz w:val="32"/>
          <w:szCs w:val="32"/>
        </w:rPr>
        <w:t>GB8978-1996</w:t>
      </w:r>
      <w:r>
        <w:rPr>
          <w:rFonts w:ascii="仿宋_GB2312" w:hAnsi="Times New Roman" w:eastAsia="仿宋_GB2312"/>
          <w:sz w:val="32"/>
          <w:szCs w:val="32"/>
        </w:rPr>
        <w:t>）表</w:t>
      </w:r>
      <w:r>
        <w:rPr>
          <w:rFonts w:ascii="Times New Roman" w:hAnsi="Times New Roman" w:eastAsia="仿宋_GB2312"/>
          <w:sz w:val="32"/>
          <w:szCs w:val="32"/>
        </w:rPr>
        <w:t>4</w:t>
      </w:r>
      <w:r>
        <w:rPr>
          <w:rFonts w:ascii="仿宋_GB2312" w:hAnsi="Times New Roman" w:eastAsia="仿宋_GB2312"/>
          <w:sz w:val="32"/>
          <w:szCs w:val="32"/>
        </w:rPr>
        <w:t>三级标准，经园区污水管网进入嵩明县第二污水处理厂处理。项目产生的设备清洗废水、车间地面清洁废水等经隔油池预处理后与锅炉排水及软水制备废水一起排入自建污水处理设备处理，近期处理达《城市污水再生利用</w:t>
      </w:r>
      <w:r>
        <w:rPr>
          <w:rFonts w:ascii="Times New Roman" w:hAnsi="Times New Roman" w:eastAsia="仿宋_GB2312"/>
          <w:sz w:val="32"/>
          <w:szCs w:val="32"/>
        </w:rPr>
        <w:t xml:space="preserve"> </w:t>
      </w:r>
      <w:r>
        <w:rPr>
          <w:rFonts w:ascii="仿宋_GB2312" w:hAnsi="Times New Roman" w:eastAsia="仿宋_GB2312"/>
          <w:sz w:val="32"/>
          <w:szCs w:val="32"/>
        </w:rPr>
        <w:t>城市杂用水水质》（</w:t>
      </w:r>
      <w:r>
        <w:rPr>
          <w:rFonts w:ascii="Times New Roman" w:hAnsi="Times New Roman" w:eastAsia="仿宋_GB2312"/>
          <w:sz w:val="32"/>
          <w:szCs w:val="32"/>
        </w:rPr>
        <w:t>GB/T18920-2020</w:t>
      </w:r>
      <w:r>
        <w:rPr>
          <w:rFonts w:ascii="仿宋_GB2312" w:hAnsi="Times New Roman" w:eastAsia="仿宋_GB2312"/>
          <w:sz w:val="32"/>
          <w:szCs w:val="32"/>
        </w:rPr>
        <w:t>）中</w:t>
      </w:r>
      <w:r>
        <w:rPr>
          <w:rFonts w:ascii="Times New Roman" w:hAnsi="Times New Roman" w:eastAsia="仿宋_GB2312"/>
          <w:sz w:val="32"/>
          <w:szCs w:val="32"/>
        </w:rPr>
        <w:t>“</w:t>
      </w:r>
      <w:r>
        <w:rPr>
          <w:rFonts w:ascii="仿宋_GB2312" w:hAnsi="Times New Roman" w:eastAsia="仿宋_GB2312"/>
          <w:sz w:val="32"/>
          <w:szCs w:val="32"/>
        </w:rPr>
        <w:t>城市绿化、道路清扫、消防、建筑施工用水</w:t>
      </w:r>
      <w:r>
        <w:rPr>
          <w:rFonts w:ascii="Times New Roman" w:hAnsi="Times New Roman" w:eastAsia="仿宋_GB2312"/>
          <w:sz w:val="32"/>
          <w:szCs w:val="32"/>
        </w:rPr>
        <w:t>”</w:t>
      </w:r>
      <w:r>
        <w:rPr>
          <w:rFonts w:ascii="仿宋_GB2312" w:hAnsi="Times New Roman" w:eastAsia="仿宋_GB2312"/>
          <w:sz w:val="32"/>
          <w:szCs w:val="32"/>
        </w:rPr>
        <w:t>水质标准限值后回用于厂区绿化及洒水降尘，不外排；远期处理达《污水综合排放标准》（</w:t>
      </w:r>
      <w:r>
        <w:rPr>
          <w:rFonts w:ascii="Times New Roman" w:hAnsi="Times New Roman" w:eastAsia="仿宋_GB2312"/>
          <w:sz w:val="32"/>
          <w:szCs w:val="32"/>
        </w:rPr>
        <w:t>GB8978-1996</w:t>
      </w:r>
      <w:r>
        <w:rPr>
          <w:rFonts w:ascii="仿宋_GB2312" w:hAnsi="Times New Roman" w:eastAsia="仿宋_GB2312"/>
          <w:sz w:val="32"/>
          <w:szCs w:val="32"/>
        </w:rPr>
        <w:t>）表</w:t>
      </w:r>
      <w:r>
        <w:rPr>
          <w:rFonts w:ascii="Times New Roman" w:hAnsi="Times New Roman" w:eastAsia="仿宋_GB2312"/>
          <w:sz w:val="32"/>
          <w:szCs w:val="32"/>
        </w:rPr>
        <w:t>4</w:t>
      </w:r>
      <w:r>
        <w:rPr>
          <w:rFonts w:ascii="仿宋_GB2312" w:hAnsi="Times New Roman" w:eastAsia="仿宋_GB2312"/>
          <w:sz w:val="32"/>
          <w:szCs w:val="32"/>
        </w:rPr>
        <w:t>三级标准及《工业企业废水氮、磷污染物间接排放限值》（</w:t>
      </w:r>
      <w:r>
        <w:rPr>
          <w:rFonts w:ascii="Times New Roman" w:hAnsi="Times New Roman" w:eastAsia="仿宋_GB2312"/>
          <w:sz w:val="32"/>
          <w:szCs w:val="32"/>
        </w:rPr>
        <w:t>DB5301/T 49-2021</w:t>
      </w:r>
      <w:r>
        <w:rPr>
          <w:rFonts w:ascii="仿宋_GB2312" w:hAnsi="Times New Roman" w:eastAsia="仿宋_GB2312"/>
          <w:sz w:val="32"/>
          <w:szCs w:val="32"/>
        </w:rPr>
        <w:t>）标准较严值后排入园区污水管网，最终进入杨林经开区工业污水处理厂处理。</w:t>
      </w:r>
    </w:p>
    <w:p>
      <w:pPr>
        <w:autoSpaceDE w:val="0"/>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项目施工期施工人员生活污水（简单盥洗废水）依托已有化粪池处理达标后进入园区污水管网，最终进入嵩明县第二污水处理厂处理。</w:t>
      </w:r>
    </w:p>
    <w:p>
      <w:pPr>
        <w:autoSpaceDE w:val="0"/>
        <w:adjustRightInd w:val="0"/>
        <w:snapToGrid w:val="0"/>
        <w:spacing w:line="560" w:lineRule="exact"/>
        <w:ind w:firstLine="640" w:firstLineChars="200"/>
        <w:rPr>
          <w:rFonts w:ascii="Times New Roman" w:hAnsi="Times New Roman" w:eastAsia="仿宋_GB2312"/>
          <w:spacing w:val="4"/>
          <w:kern w:val="24"/>
          <w:sz w:val="32"/>
          <w:szCs w:val="32"/>
        </w:rPr>
      </w:pPr>
      <w:r>
        <w:rPr>
          <w:rFonts w:ascii="仿宋_GB2312" w:hAnsi="Times New Roman" w:eastAsia="仿宋_GB2312"/>
          <w:sz w:val="32"/>
          <w:szCs w:val="32"/>
        </w:rPr>
        <w:t>（二）严格落实各项大气污染防治措施，</w:t>
      </w:r>
      <w:r>
        <w:rPr>
          <w:rFonts w:ascii="仿宋_GB2312" w:hAnsi="Times New Roman" w:eastAsia="仿宋_GB2312"/>
          <w:spacing w:val="4"/>
          <w:kern w:val="24"/>
          <w:sz w:val="32"/>
          <w:szCs w:val="32"/>
        </w:rPr>
        <w:t>确保大气污染物达标排放。</w:t>
      </w:r>
    </w:p>
    <w:p>
      <w:pPr>
        <w:autoSpaceDE w:val="0"/>
        <w:adjustRightInd w:val="0"/>
        <w:snapToGrid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项目共设置</w:t>
      </w:r>
      <w:r>
        <w:rPr>
          <w:rFonts w:ascii="Times New Roman" w:hAnsi="Times New Roman" w:eastAsia="仿宋_GB2312"/>
          <w:sz w:val="32"/>
          <w:szCs w:val="32"/>
        </w:rPr>
        <w:t>3</w:t>
      </w:r>
      <w:r>
        <w:rPr>
          <w:rFonts w:ascii="仿宋_GB2312" w:hAnsi="Times New Roman" w:eastAsia="仿宋_GB2312"/>
          <w:sz w:val="32"/>
          <w:szCs w:val="32"/>
        </w:rPr>
        <w:t>根排气筒，生物质锅炉</w:t>
      </w:r>
      <w:r>
        <w:rPr>
          <w:rFonts w:hint="eastAsia" w:ascii="仿宋_GB2312" w:hAnsi="Times New Roman" w:eastAsia="仿宋_GB2312"/>
          <w:sz w:val="32"/>
          <w:szCs w:val="32"/>
        </w:rPr>
        <w:t>燃烧产生的废气经处理后通过</w:t>
      </w:r>
      <w:r>
        <w:rPr>
          <w:rFonts w:ascii="仿宋_GB2312" w:hAnsi="Times New Roman" w:eastAsia="仿宋_GB2312"/>
          <w:sz w:val="32"/>
          <w:szCs w:val="32"/>
        </w:rPr>
        <w:t>高度不低于</w:t>
      </w:r>
      <w:r>
        <w:rPr>
          <w:rFonts w:hint="eastAsia" w:ascii="Times New Roman" w:hAnsi="Times New Roman" w:eastAsia="仿宋_GB2312"/>
          <w:sz w:val="32"/>
          <w:szCs w:val="32"/>
        </w:rPr>
        <w:t>30</w:t>
      </w:r>
      <w:r>
        <w:rPr>
          <w:rFonts w:ascii="Times New Roman" w:hAnsi="Times New Roman" w:eastAsia="仿宋_GB2312"/>
          <w:sz w:val="32"/>
          <w:szCs w:val="32"/>
        </w:rPr>
        <w:t>m</w:t>
      </w:r>
      <w:r>
        <w:rPr>
          <w:rFonts w:ascii="仿宋_GB2312" w:hAnsi="Times New Roman" w:eastAsia="仿宋_GB2312"/>
          <w:sz w:val="32"/>
          <w:szCs w:val="32"/>
        </w:rPr>
        <w:t>排气筒排放，鸡精生产工序、杂粮生</w:t>
      </w:r>
      <w:r>
        <w:rPr>
          <w:rFonts w:ascii="仿宋_GB2312" w:hAnsi="Times New Roman" w:eastAsia="仿宋_GB2312"/>
          <w:spacing w:val="-10"/>
          <w:sz w:val="32"/>
          <w:szCs w:val="32"/>
        </w:rPr>
        <w:t>产工序产生的废气经处理后分别通过高度不低于</w:t>
      </w:r>
      <w:r>
        <w:rPr>
          <w:rFonts w:ascii="Times New Roman" w:hAnsi="Times New Roman" w:eastAsia="仿宋_GB2312"/>
          <w:spacing w:val="-10"/>
          <w:sz w:val="32"/>
          <w:szCs w:val="32"/>
        </w:rPr>
        <w:t>18m</w:t>
      </w:r>
      <w:r>
        <w:rPr>
          <w:rFonts w:ascii="仿宋_GB2312" w:hAnsi="Times New Roman" w:eastAsia="仿宋_GB2312"/>
          <w:spacing w:val="-10"/>
          <w:sz w:val="32"/>
          <w:szCs w:val="32"/>
        </w:rPr>
        <w:t>排气筒排放。</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color w:val="000000"/>
          <w:sz w:val="32"/>
          <w:szCs w:val="32"/>
        </w:rPr>
        <w:t>项目运营期</w:t>
      </w:r>
      <w:r>
        <w:rPr>
          <w:rFonts w:ascii="仿宋_GB2312" w:hAnsi="Times New Roman" w:eastAsia="仿宋_GB2312"/>
          <w:sz w:val="32"/>
          <w:szCs w:val="32"/>
        </w:rPr>
        <w:t>锅炉燃烧产生的颗粒物、二氧化硫、氮氧化物排放执行《锅炉大气污染物排放标准》（</w:t>
      </w:r>
      <w:r>
        <w:rPr>
          <w:rFonts w:ascii="Times New Roman" w:hAnsi="Times New Roman" w:eastAsia="仿宋_GB2312"/>
          <w:sz w:val="32"/>
          <w:szCs w:val="32"/>
        </w:rPr>
        <w:t>GB13271-2014</w:t>
      </w:r>
      <w:r>
        <w:rPr>
          <w:rFonts w:ascii="仿宋_GB2312" w:hAnsi="Times New Roman" w:eastAsia="仿宋_GB2312"/>
          <w:sz w:val="32"/>
          <w:szCs w:val="32"/>
        </w:rPr>
        <w:t>）中表</w:t>
      </w:r>
      <w:r>
        <w:rPr>
          <w:rFonts w:ascii="Times New Roman" w:hAnsi="Times New Roman" w:eastAsia="仿宋_GB2312"/>
          <w:sz w:val="32"/>
          <w:szCs w:val="32"/>
        </w:rPr>
        <w:t>2</w:t>
      </w:r>
      <w:r>
        <w:rPr>
          <w:rFonts w:ascii="仿宋_GB2312" w:hAnsi="Times New Roman" w:eastAsia="仿宋_GB2312"/>
          <w:sz w:val="32"/>
          <w:szCs w:val="32"/>
        </w:rPr>
        <w:t>新建燃气锅炉</w:t>
      </w:r>
      <w:r>
        <w:rPr>
          <w:rFonts w:ascii="仿宋_GB2312" w:hAnsi="Times New Roman" w:eastAsia="仿宋_GB2312"/>
          <w:color w:val="000000"/>
          <w:sz w:val="32"/>
          <w:szCs w:val="32"/>
        </w:rPr>
        <w:t>排放限值</w:t>
      </w:r>
      <w:r>
        <w:rPr>
          <w:rFonts w:ascii="仿宋_GB2312" w:hAnsi="Times New Roman" w:eastAsia="仿宋_GB2312"/>
          <w:sz w:val="32"/>
          <w:szCs w:val="32"/>
        </w:rPr>
        <w:t>标准。鸡精生产工序、杂粮生产工序产生的颗粒物排放执行《大气污染物综合排放标准》（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二级排放限值标准。</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项目运营期食堂油烟执行《饮食业油烟排放标准》（</w:t>
      </w:r>
      <w:r>
        <w:rPr>
          <w:rFonts w:ascii="Times New Roman" w:hAnsi="Times New Roman" w:eastAsia="仿宋_GB2312"/>
          <w:sz w:val="32"/>
          <w:szCs w:val="32"/>
        </w:rPr>
        <w:t>GB18483-2001</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小型标准。</w:t>
      </w:r>
    </w:p>
    <w:p>
      <w:pPr>
        <w:suppressAutoHyphens/>
        <w:adjustRightIn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厂界无组织颗粒物、挥发性有机物</w:t>
      </w:r>
      <w:r>
        <w:rPr>
          <w:rFonts w:hint="eastAsia" w:ascii="仿宋_GB2312" w:hAnsi="Times New Roman" w:eastAsia="仿宋_GB2312"/>
          <w:sz w:val="32"/>
          <w:szCs w:val="32"/>
        </w:rPr>
        <w:t>执行</w:t>
      </w:r>
      <w:r>
        <w:rPr>
          <w:rFonts w:ascii="仿宋_GB2312" w:hAnsi="Times New Roman" w:eastAsia="仿宋_GB2312"/>
          <w:sz w:val="32"/>
          <w:szCs w:val="32"/>
        </w:rPr>
        <w:t>《大气污染物综合排放标准》（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限值要求；氨、硫化氢、臭气浓度执行《恶臭污染物排放标准》（</w:t>
      </w:r>
      <w:r>
        <w:rPr>
          <w:rFonts w:ascii="Times New Roman" w:hAnsi="Times New Roman" w:eastAsia="仿宋_GB2312"/>
          <w:sz w:val="32"/>
          <w:szCs w:val="32"/>
        </w:rPr>
        <w:t>GB14554-93</w:t>
      </w:r>
      <w:r>
        <w:rPr>
          <w:rFonts w:ascii="仿宋_GB2312" w:hAnsi="Times New Roman" w:eastAsia="仿宋_GB2312"/>
          <w:sz w:val="32"/>
          <w:szCs w:val="32"/>
        </w:rPr>
        <w:t>）表</w:t>
      </w:r>
      <w:r>
        <w:rPr>
          <w:rFonts w:ascii="Times New Roman" w:hAnsi="Times New Roman" w:eastAsia="仿宋_GB2312"/>
          <w:sz w:val="32"/>
          <w:szCs w:val="32"/>
        </w:rPr>
        <w:t>1</w:t>
      </w:r>
      <w:r>
        <w:rPr>
          <w:rFonts w:ascii="仿宋_GB2312" w:hAnsi="Times New Roman" w:eastAsia="仿宋_GB2312"/>
          <w:sz w:val="32"/>
          <w:szCs w:val="32"/>
        </w:rPr>
        <w:t>二级新扩改建标准。</w:t>
      </w:r>
    </w:p>
    <w:p>
      <w:pPr>
        <w:suppressAutoHyphens/>
        <w:adjustRightInd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项目运营期厂区内无组织非甲烷总烃排放执行《挥发性有</w:t>
      </w:r>
      <w:r>
        <w:rPr>
          <w:rFonts w:ascii="仿宋_GB2312" w:hAnsi="Times New Roman" w:eastAsia="仿宋_GB2312"/>
          <w:spacing w:val="-10"/>
          <w:sz w:val="32"/>
          <w:szCs w:val="32"/>
        </w:rPr>
        <w:t>机物无组织排放控制标准》（</w:t>
      </w:r>
      <w:r>
        <w:rPr>
          <w:rFonts w:ascii="Times New Roman" w:hAnsi="Times New Roman" w:eastAsia="仿宋_GB2312"/>
          <w:spacing w:val="-10"/>
          <w:sz w:val="32"/>
          <w:szCs w:val="32"/>
        </w:rPr>
        <w:t>GB37822-2019</w:t>
      </w:r>
      <w:r>
        <w:rPr>
          <w:rFonts w:ascii="仿宋_GB2312" w:hAnsi="Times New Roman" w:eastAsia="仿宋_GB2312"/>
          <w:spacing w:val="-10"/>
          <w:sz w:val="32"/>
          <w:szCs w:val="32"/>
        </w:rPr>
        <w:t>）附录</w:t>
      </w:r>
      <w:r>
        <w:rPr>
          <w:rFonts w:ascii="Times New Roman" w:hAnsi="Times New Roman" w:eastAsia="仿宋_GB2312"/>
          <w:spacing w:val="-10"/>
          <w:sz w:val="32"/>
          <w:szCs w:val="32"/>
        </w:rPr>
        <w:t>A</w:t>
      </w:r>
      <w:r>
        <w:rPr>
          <w:rFonts w:ascii="仿宋_GB2312" w:hAnsi="Times New Roman" w:eastAsia="仿宋_GB2312"/>
          <w:spacing w:val="-10"/>
          <w:sz w:val="32"/>
          <w:szCs w:val="32"/>
        </w:rPr>
        <w:t>表</w:t>
      </w:r>
      <w:r>
        <w:rPr>
          <w:rFonts w:ascii="Times New Roman" w:hAnsi="Times New Roman" w:eastAsia="仿宋_GB2312"/>
          <w:spacing w:val="-10"/>
          <w:sz w:val="32"/>
          <w:szCs w:val="32"/>
        </w:rPr>
        <w:t>A.1</w:t>
      </w:r>
      <w:r>
        <w:rPr>
          <w:rFonts w:ascii="仿宋_GB2312" w:hAnsi="Times New Roman" w:eastAsia="仿宋_GB2312"/>
          <w:spacing w:val="-10"/>
          <w:sz w:val="32"/>
          <w:szCs w:val="32"/>
        </w:rPr>
        <w:t>标准。</w:t>
      </w:r>
    </w:p>
    <w:p>
      <w:pPr>
        <w:suppressAutoHyphens/>
        <w:adjustRightIn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项目施工期颗粒物排放执行《大气污染物综合排放标准》（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中无组织排放监控浓度限值标准。</w:t>
      </w:r>
    </w:p>
    <w:p>
      <w:pPr>
        <w:suppressAutoHyphens/>
        <w:adjustRightIn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autoSpaceDE w:val="0"/>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项目运营期厂界噪声排放执行《工业企业厂界环境噪声排放标准》（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）中</w:t>
      </w:r>
      <w:r>
        <w:rPr>
          <w:rFonts w:ascii="Times New Roman" w:hAnsi="Times New Roman" w:eastAsia="仿宋_GB2312"/>
          <w:sz w:val="32"/>
          <w:szCs w:val="32"/>
        </w:rPr>
        <w:t>3</w:t>
      </w:r>
      <w:r>
        <w:rPr>
          <w:rFonts w:ascii="仿宋_GB2312" w:hAnsi="Times New Roman" w:eastAsia="仿宋_GB2312"/>
          <w:sz w:val="32"/>
          <w:szCs w:val="32"/>
        </w:rPr>
        <w:t>类标准。</w:t>
      </w:r>
    </w:p>
    <w:p>
      <w:pPr>
        <w:autoSpaceDE w:val="0"/>
        <w:adjustRightInd w:val="0"/>
        <w:snapToGrid w:val="0"/>
        <w:spacing w:line="560" w:lineRule="exact"/>
        <w:ind w:firstLine="640" w:firstLineChars="200"/>
        <w:rPr>
          <w:rFonts w:ascii="Times New Roman" w:hAnsi="Times New Roman" w:eastAsia="仿宋_GB2312"/>
          <w:b/>
          <w:bCs/>
          <w:sz w:val="32"/>
          <w:szCs w:val="32"/>
        </w:rPr>
      </w:pPr>
      <w:r>
        <w:rPr>
          <w:rFonts w:ascii="仿宋_GB2312" w:hAnsi="Times New Roman" w:eastAsia="仿宋_GB2312"/>
          <w:sz w:val="32"/>
          <w:szCs w:val="32"/>
        </w:rPr>
        <w:t>项目施工期噪声排放执行《建筑施工噪声排放标准》（</w:t>
      </w:r>
      <w:r>
        <w:rPr>
          <w:rFonts w:ascii="Times New Roman" w:hAnsi="Times New Roman" w:eastAsia="仿宋_GB2312"/>
          <w:sz w:val="32"/>
          <w:szCs w:val="32"/>
        </w:rPr>
        <w:t>GB12523-2025</w:t>
      </w:r>
      <w:r>
        <w:rPr>
          <w:rFonts w:ascii="仿宋_GB2312" w:hAnsi="Times New Roman" w:eastAsia="仿宋_GB2312"/>
          <w:sz w:val="32"/>
          <w:szCs w:val="32"/>
        </w:rPr>
        <w:t>）要求。</w:t>
      </w:r>
    </w:p>
    <w:p>
      <w:pPr>
        <w:wordWrap w:val="0"/>
        <w:autoSpaceDE w:val="0"/>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wordWrap w:val="0"/>
        <w:autoSpaceDE w:val="0"/>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项目运营期废离子交换树脂由更换厂家带走处置；生物质锅炉炉渣及灰渣袋装</w:t>
      </w:r>
      <w:r>
        <w:rPr>
          <w:rFonts w:hint="eastAsia" w:ascii="仿宋_GB2312" w:hAnsi="Times New Roman" w:eastAsia="仿宋_GB2312"/>
          <w:sz w:val="32"/>
          <w:szCs w:val="32"/>
        </w:rPr>
        <w:t>、</w:t>
      </w:r>
      <w:r>
        <w:rPr>
          <w:rFonts w:ascii="仿宋_GB2312" w:hAnsi="Times New Roman" w:eastAsia="仿宋_GB2312"/>
          <w:sz w:val="32"/>
          <w:szCs w:val="32"/>
        </w:rPr>
        <w:t>污水处理设备污泥、废包装材料、布袋收集粉尘、枯枝落叶、砂石、废花瓣等一般固废</w:t>
      </w:r>
      <w:r>
        <w:rPr>
          <w:rFonts w:hint="eastAsia" w:ascii="仿宋_GB2312" w:hAnsi="Times New Roman" w:eastAsia="仿宋_GB2312"/>
          <w:sz w:val="32"/>
          <w:szCs w:val="32"/>
        </w:rPr>
        <w:t>经收集后能回收利用的回收利用，不能回收利用的交由有处置能力的</w:t>
      </w:r>
      <w:r>
        <w:rPr>
          <w:rFonts w:ascii="仿宋_GB2312" w:hAnsi="Times New Roman" w:eastAsia="仿宋_GB2312"/>
          <w:sz w:val="32"/>
          <w:szCs w:val="32"/>
        </w:rPr>
        <w:t>单位清运处置；食堂泔水、废油脂等委托有资质单位进行处置；生活垃圾、化粪池污泥委托环卫部门定期清掏处置。项目运营期产生的废油墨盒、废机油及含油废手套、</w:t>
      </w:r>
      <w:r>
        <w:rPr>
          <w:rFonts w:hint="eastAsia" w:ascii="仿宋_GB2312" w:hAnsi="Times New Roman" w:eastAsia="仿宋_GB2312"/>
          <w:sz w:val="32"/>
          <w:szCs w:val="32"/>
        </w:rPr>
        <w:t>抹布</w:t>
      </w:r>
      <w:r>
        <w:rPr>
          <w:rFonts w:ascii="仿宋_GB2312" w:hAnsi="Times New Roman" w:eastAsia="仿宋_GB2312"/>
          <w:sz w:val="32"/>
          <w:szCs w:val="32"/>
        </w:rPr>
        <w:t>等危险废物分类收集暂存危险废物暂存库，严格执行《危险废物贮存污染控制标准》（</w:t>
      </w:r>
      <w:r>
        <w:rPr>
          <w:rFonts w:ascii="Times New Roman" w:hAnsi="Times New Roman" w:eastAsia="仿宋_GB2312"/>
          <w:sz w:val="32"/>
          <w:szCs w:val="32"/>
        </w:rPr>
        <w:t>GB18597-2023</w:t>
      </w:r>
      <w:r>
        <w:rPr>
          <w:rFonts w:ascii="仿宋_GB2312" w:hAnsi="Times New Roman" w:eastAsia="仿宋_GB2312"/>
          <w:sz w:val="32"/>
          <w:szCs w:val="32"/>
        </w:rPr>
        <w:t>）、《危险废物收集贮存运输技术规范》（</w:t>
      </w:r>
      <w:r>
        <w:rPr>
          <w:rFonts w:ascii="Times New Roman" w:hAnsi="Times New Roman" w:eastAsia="仿宋_GB2312"/>
          <w:sz w:val="32"/>
          <w:szCs w:val="32"/>
        </w:rPr>
        <w:t>HJ2025-2012</w:t>
      </w:r>
      <w:r>
        <w:rPr>
          <w:rFonts w:ascii="仿宋_GB2312" w:hAnsi="Times New Roman" w:eastAsia="仿宋_GB2312"/>
          <w:sz w:val="32"/>
          <w:szCs w:val="32"/>
        </w:rPr>
        <w:t>），并委托有资质单位清运处置。</w:t>
      </w:r>
    </w:p>
    <w:p>
      <w:pPr>
        <w:wordWrap w:val="0"/>
        <w:autoSpaceDE w:val="0"/>
        <w:adjustRightInd w:val="0"/>
        <w:snapToGrid w:val="0"/>
        <w:spacing w:line="560" w:lineRule="exact"/>
        <w:ind w:firstLine="616" w:firstLineChars="200"/>
        <w:rPr>
          <w:rFonts w:ascii="Times New Roman" w:hAnsi="Times New Roman" w:eastAsia="仿宋_GB2312"/>
          <w:spacing w:val="-6"/>
          <w:sz w:val="32"/>
          <w:szCs w:val="32"/>
        </w:rPr>
      </w:pPr>
      <w:r>
        <w:rPr>
          <w:rFonts w:ascii="仿宋_GB2312" w:hAnsi="Times New Roman" w:eastAsia="仿宋_GB2312"/>
          <w:spacing w:val="-6"/>
          <w:sz w:val="32"/>
          <w:szCs w:val="32"/>
        </w:rPr>
        <w:t>项</w:t>
      </w:r>
      <w:r>
        <w:rPr>
          <w:rFonts w:ascii="仿宋_GB2312" w:hAnsi="Times New Roman" w:eastAsia="仿宋_GB2312"/>
          <w:spacing w:val="-10"/>
          <w:sz w:val="32"/>
          <w:szCs w:val="32"/>
        </w:rPr>
        <w:t>目施工期生活垃圾收集后委托当地环卫部门定期清运处理。</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做好环境风险应急管理工作。严格执行《报告表》中风险影响评价中的各项防范措施，并建设相应风险防范设施，制定突发环境事件应急预案并报市生态环境局嵩明分局备案。开展必要的应急培训、宣传和演练。</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（六）污染物总量控制指标：颗粒物</w:t>
      </w:r>
      <w:r>
        <w:rPr>
          <w:rFonts w:ascii="Times New Roman" w:hAnsi="Times New Roman" w:eastAsia="仿宋_GB2312"/>
          <w:sz w:val="32"/>
          <w:szCs w:val="32"/>
        </w:rPr>
        <w:t>0.348t/a</w:t>
      </w:r>
      <w:r>
        <w:rPr>
          <w:rFonts w:ascii="仿宋_GB2312" w:hAnsi="Times New Roman" w:eastAsia="仿宋_GB2312"/>
          <w:sz w:val="32"/>
          <w:szCs w:val="32"/>
        </w:rPr>
        <w:t>，二氧化硫</w:t>
      </w:r>
      <w:r>
        <w:rPr>
          <w:rFonts w:ascii="Times New Roman" w:hAnsi="Times New Roman" w:eastAsia="仿宋_GB2312"/>
          <w:sz w:val="32"/>
          <w:szCs w:val="32"/>
        </w:rPr>
        <w:t>0.133t/a</w:t>
      </w:r>
      <w:r>
        <w:rPr>
          <w:rFonts w:ascii="仿宋_GB2312" w:hAnsi="Times New Roman" w:eastAsia="仿宋_GB2312"/>
          <w:sz w:val="32"/>
          <w:szCs w:val="32"/>
        </w:rPr>
        <w:t>，氮氧化物</w:t>
      </w:r>
      <w:r>
        <w:rPr>
          <w:rFonts w:ascii="Times New Roman" w:hAnsi="Times New Roman" w:eastAsia="仿宋_GB2312"/>
          <w:sz w:val="32"/>
          <w:szCs w:val="32"/>
        </w:rPr>
        <w:t>0.802t/a</w:t>
      </w:r>
      <w:r>
        <w:rPr>
          <w:rFonts w:ascii="仿宋_GB2312" w:hAnsi="Times New Roman" w:eastAsia="仿宋_GB2312"/>
          <w:sz w:val="32"/>
          <w:szCs w:val="32"/>
        </w:rPr>
        <w:t>。项目氮氧化物总量</w:t>
      </w:r>
      <w:r>
        <w:rPr>
          <w:rFonts w:hint="eastAsia" w:ascii="仿宋_GB2312" w:hAnsi="Times New Roman" w:eastAsia="仿宋_GB2312"/>
          <w:sz w:val="32"/>
          <w:szCs w:val="32"/>
        </w:rPr>
        <w:t>指标</w:t>
      </w:r>
      <w:r>
        <w:rPr>
          <w:rFonts w:ascii="仿宋_GB2312" w:hAnsi="Times New Roman" w:eastAsia="仿宋_GB2312"/>
          <w:sz w:val="32"/>
          <w:szCs w:val="32"/>
        </w:rPr>
        <w:t>来源于关停的拦江水泥有限公司。</w:t>
      </w:r>
    </w:p>
    <w:p>
      <w:pPr>
        <w:wordWrap w:val="0"/>
        <w:autoSpaceDE w:val="0"/>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（七）</w:t>
      </w:r>
      <w:r>
        <w:rPr>
          <w:rFonts w:ascii="仿宋_GB2312" w:hAnsi="Times New Roman" w:eastAsia="仿宋_GB2312"/>
          <w:kern w:val="0"/>
          <w:sz w:val="32"/>
          <w:szCs w:val="32"/>
          <w:shd w:val="clear" w:color="auto" w:fill="FFFFFF"/>
        </w:rPr>
        <w:t>按照《排污许可管理条例》相关规定，纳入固定污染源排污许可管理的，需在项目启动生产设施或发生实际排污前，依法取得排污许可手续。</w:t>
      </w:r>
    </w:p>
    <w:p>
      <w:pPr>
        <w:wordWrap w:val="0"/>
        <w:autoSpaceDE w:val="0"/>
        <w:adjustRightInd w:val="0"/>
        <w:snapToGrid w:val="0"/>
        <w:spacing w:line="560" w:lineRule="exact"/>
        <w:ind w:firstLine="640" w:firstLineChars="200"/>
        <w:rPr>
          <w:rFonts w:ascii="Times New Roman" w:hAnsi="Times New Roman" w:eastAsia="仿宋_GB2312"/>
          <w:spacing w:val="-6"/>
          <w:sz w:val="32"/>
          <w:szCs w:val="32"/>
        </w:rPr>
      </w:pPr>
      <w:r>
        <w:rPr>
          <w:rFonts w:ascii="仿宋_GB2312" w:hAnsi="Times New Roman" w:eastAsia="仿宋_GB2312"/>
          <w:sz w:val="32"/>
          <w:szCs w:val="32"/>
        </w:rPr>
        <w:t>（八）认真组织实施《报告表》提出的环境监测计划，定期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pPr>
        <w:suppressAutoHyphens/>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suppressAutoHyphens/>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w:t>
      </w:r>
      <w:r>
        <w:rPr>
          <w:rFonts w:ascii="仿宋_GB2312" w:hAnsi="Times New Roman" w:eastAsia="仿宋_GB2312"/>
          <w:spacing w:val="-10"/>
          <w:sz w:val="32"/>
          <w:szCs w:val="32"/>
        </w:rPr>
        <w:t>单位应按规定接受各级生态环境主管部门的监督检查。</w:t>
      </w:r>
    </w:p>
    <w:p>
      <w:pPr>
        <w:suppressAutoHyphens/>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请市生态环境局嵩明分局负责组织项目环境现场执法和日常监督管理，请市生态环境保护综合行政执法支队加强监督检查。</w:t>
      </w:r>
    </w:p>
    <w:p>
      <w:pPr>
        <w:suppressAutoHyphens/>
        <w:adjustRightInd w:val="0"/>
        <w:spacing w:line="560" w:lineRule="exact"/>
        <w:ind w:firstLine="640" w:firstLineChars="200"/>
        <w:rPr>
          <w:rFonts w:ascii="Times New Roman" w:hAnsi="Times New Roman"/>
          <w:szCs w:val="21"/>
        </w:rPr>
      </w:pPr>
      <w:r>
        <w:rPr>
          <w:rFonts w:ascii="仿宋_GB2312" w:hAnsi="Times New Roman" w:eastAsia="仿宋_GB2312"/>
          <w:sz w:val="32"/>
          <w:szCs w:val="32"/>
        </w:rPr>
        <w:t>六、依法到其他部门办理相关手续。</w:t>
      </w:r>
    </w:p>
    <w:p>
      <w:pPr>
        <w:autoSpaceDE w:val="0"/>
        <w:autoSpaceDN w:val="0"/>
        <w:adjustRightInd w:val="0"/>
        <w:spacing w:line="560" w:lineRule="exact"/>
        <w:rPr>
          <w:rFonts w:ascii="Times New Roman" w:hAnsi="Times New Roman"/>
          <w:color w:val="000000"/>
          <w:sz w:val="24"/>
          <w:szCs w:val="24"/>
        </w:rPr>
      </w:pPr>
      <w:r>
        <w:rPr>
          <w:rFonts w:ascii="Times New Roman" w:hAnsi="Times New Roman"/>
          <w:color w:val="000000"/>
          <w:sz w:val="24"/>
          <w:szCs w:val="24"/>
        </w:rPr>
        <w:t xml:space="preserve"> </w:t>
      </w:r>
    </w:p>
    <w:p>
      <w:pPr>
        <w:autoSpaceDE w:val="0"/>
        <w:autoSpaceDN w:val="0"/>
        <w:adjustRightInd w:val="0"/>
        <w:spacing w:line="560" w:lineRule="exact"/>
        <w:rPr>
          <w:rFonts w:ascii="Times New Roman" w:hAnsi="Times New Roman" w:eastAsia="仿宋_GB2312"/>
          <w:sz w:val="32"/>
          <w:szCs w:val="32"/>
        </w:rPr>
      </w:pPr>
      <w:r>
        <w:rPr>
          <w:rFonts w:ascii="Times New Roman" w:hAnsi="Times New Roman"/>
          <w:color w:val="000000"/>
          <w:sz w:val="24"/>
          <w:szCs w:val="24"/>
        </w:rPr>
        <w:t xml:space="preserve"> </w:t>
      </w:r>
    </w:p>
    <w:p>
      <w:pPr>
        <w:autoSpaceDE w:val="0"/>
        <w:autoSpaceDN w:val="0"/>
        <w:adjustRightInd w:val="0"/>
        <w:spacing w:line="560" w:lineRule="exact"/>
        <w:jc w:val="right"/>
        <w:rPr>
          <w:rFonts w:hint="eastAsia" w:ascii="Times New Roman" w:hAnsi="Times New Roman"/>
          <w:szCs w:val="21"/>
        </w:rPr>
      </w:pPr>
    </w:p>
    <w:p>
      <w:pPr>
        <w:spacing w:line="560" w:lineRule="exact"/>
        <w:rPr>
          <w:rFonts w:ascii="Times New Roman" w:hAnsi="Times New Roman"/>
          <w:szCs w:val="21"/>
        </w:rPr>
      </w:pPr>
    </w:p>
    <w:p>
      <w:pPr>
        <w:suppressAutoHyphens/>
        <w:adjustRightInd w:val="0"/>
        <w:spacing w:line="560" w:lineRule="exact"/>
        <w:ind w:firstLine="640" w:firstLineChars="200"/>
        <w:jc w:val="center"/>
        <w:rPr>
          <w:rFonts w:hint="eastAsia"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12</w:t>
      </w:r>
      <w:r>
        <w:rPr>
          <w:rFonts w:ascii="Times New Roman" w:hAnsi="Times New Roman" w:eastAsia="仿宋_GB2312"/>
          <w:sz w:val="32"/>
          <w:szCs w:val="32"/>
        </w:rPr>
        <w:t>日</w:t>
      </w:r>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ascii="仿宋_GB2312" w:hAnsi="Times New Roman" w:eastAsia="仿宋_GB2312"/>
          <w:sz w:val="28"/>
          <w:szCs w:val="28"/>
        </w:rPr>
        <w:t>云南省生态环境厅。市生态环境局嵩明分局，局机关各处室、各直属单位。云南策润环保科技有限公司</w:t>
      </w:r>
      <w:r>
        <w:rPr>
          <w:rFonts w:ascii="Times New Roman" w:hAnsi="Times New Roman" w:eastAsia="仿宋_GB2312"/>
          <w:spacing w:val="-10"/>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12</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372C"/>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6764"/>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5B5"/>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3C44"/>
    <w:rsid w:val="003247FC"/>
    <w:rsid w:val="00324999"/>
    <w:rsid w:val="00325737"/>
    <w:rsid w:val="003258E9"/>
    <w:rsid w:val="00325BA2"/>
    <w:rsid w:val="0032625C"/>
    <w:rsid w:val="00326F38"/>
    <w:rsid w:val="00331707"/>
    <w:rsid w:val="00331DCD"/>
    <w:rsid w:val="003329F2"/>
    <w:rsid w:val="00333950"/>
    <w:rsid w:val="00333A1A"/>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6F1"/>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1724"/>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33E"/>
    <w:rsid w:val="005A19F9"/>
    <w:rsid w:val="005A2260"/>
    <w:rsid w:val="005A2A5B"/>
    <w:rsid w:val="005A31EE"/>
    <w:rsid w:val="005A5A4A"/>
    <w:rsid w:val="005A64C4"/>
    <w:rsid w:val="005A6682"/>
    <w:rsid w:val="005B033A"/>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3E79"/>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0A6F"/>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208B"/>
    <w:rsid w:val="006D540E"/>
    <w:rsid w:val="006D5449"/>
    <w:rsid w:val="006D72B6"/>
    <w:rsid w:val="006D7783"/>
    <w:rsid w:val="006E063E"/>
    <w:rsid w:val="006E09EB"/>
    <w:rsid w:val="006E25B8"/>
    <w:rsid w:val="006E3D61"/>
    <w:rsid w:val="006E4031"/>
    <w:rsid w:val="006E4250"/>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20"/>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2631"/>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5835"/>
    <w:rsid w:val="007D707F"/>
    <w:rsid w:val="007D7B34"/>
    <w:rsid w:val="007E24AD"/>
    <w:rsid w:val="007E367A"/>
    <w:rsid w:val="007E3C44"/>
    <w:rsid w:val="007E3ECB"/>
    <w:rsid w:val="007E4144"/>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5B2E"/>
    <w:rsid w:val="008F771D"/>
    <w:rsid w:val="008F795B"/>
    <w:rsid w:val="008F7960"/>
    <w:rsid w:val="008F7E21"/>
    <w:rsid w:val="0090022A"/>
    <w:rsid w:val="00901620"/>
    <w:rsid w:val="00901A5C"/>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4ACA"/>
    <w:rsid w:val="00AB0519"/>
    <w:rsid w:val="00AB0E77"/>
    <w:rsid w:val="00AB308D"/>
    <w:rsid w:val="00AB4693"/>
    <w:rsid w:val="00AB5699"/>
    <w:rsid w:val="00AB56EE"/>
    <w:rsid w:val="00AB5DDC"/>
    <w:rsid w:val="00AC02AC"/>
    <w:rsid w:val="00AC09D0"/>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24B"/>
    <w:rsid w:val="00B13C92"/>
    <w:rsid w:val="00B14B7A"/>
    <w:rsid w:val="00B15D5A"/>
    <w:rsid w:val="00B16165"/>
    <w:rsid w:val="00B16830"/>
    <w:rsid w:val="00B17F72"/>
    <w:rsid w:val="00B17F86"/>
    <w:rsid w:val="00B206EE"/>
    <w:rsid w:val="00B20965"/>
    <w:rsid w:val="00B21020"/>
    <w:rsid w:val="00B21613"/>
    <w:rsid w:val="00B21CC4"/>
    <w:rsid w:val="00B21E06"/>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7A"/>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45C7"/>
    <w:rsid w:val="00D3522B"/>
    <w:rsid w:val="00D35A5C"/>
    <w:rsid w:val="00D36261"/>
    <w:rsid w:val="00D366F2"/>
    <w:rsid w:val="00D370CD"/>
    <w:rsid w:val="00D374FF"/>
    <w:rsid w:val="00D375BB"/>
    <w:rsid w:val="00D37F43"/>
    <w:rsid w:val="00D41739"/>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01F7"/>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1B45"/>
    <w:rsid w:val="00DB2F3E"/>
    <w:rsid w:val="00DC02B9"/>
    <w:rsid w:val="00DC057E"/>
    <w:rsid w:val="00DC0FD6"/>
    <w:rsid w:val="00DC1978"/>
    <w:rsid w:val="00DC2A85"/>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16D"/>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D07"/>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1216"/>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21511"/>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2026-02-12T04:21:00Z</dcterms:created>
  <dc:creator>李敏</dc:creator>
  <cp:lastModifiedBy>李敏</cp:lastModifiedBy>
  <dcterms:modified xsi:type="dcterms:W3CDTF">2026-02-12T04:22:22Z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