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rPr>
          <w:rFonts w:ascii="Times New Roman" w:hAnsi="Times New Roman" w:eastAsia="方正小标宋简体"/>
          <w:color w:val="FF0000"/>
          <w:sz w:val="32"/>
          <w:szCs w:val="32"/>
        </w:rPr>
      </w:pPr>
    </w:p>
    <w:p>
      <w:pPr>
        <w:tabs>
          <w:tab w:val="left" w:pos="4410"/>
        </w:tabs>
        <w:rPr>
          <w:rFonts w:ascii="Times New Roman" w:hAnsi="Times New Roman" w:eastAsia="方正小标宋简体"/>
          <w:color w:val="FF0000"/>
          <w:sz w:val="32"/>
          <w:szCs w:val="32"/>
        </w:rPr>
      </w:pPr>
    </w:p>
    <w:p>
      <w:pPr>
        <w:rPr>
          <w:rFonts w:ascii="Times New Roman" w:hAnsi="Times New Roman" w:eastAsia="仿宋_GB2312"/>
          <w:color w:val="000000"/>
          <w:sz w:val="52"/>
          <w:szCs w:val="52"/>
        </w:rPr>
      </w:pPr>
    </w:p>
    <w:p>
      <w:pPr>
        <w:jc w:val="center"/>
        <w:rPr>
          <w:rFonts w:ascii="Times New Roman" w:hAnsi="Times New Roman" w:eastAsia="楷体_GB2312"/>
          <w:color w:val="000000"/>
          <w:sz w:val="32"/>
        </w:rPr>
      </w:pPr>
      <w:bookmarkStart w:id="0" w:name="_GoBack"/>
      <w:r>
        <w:rPr>
          <w:rFonts w:ascii="Times New Roman" w:hAnsi="Times New Roman" w:eastAsia="仿宋_GB2312"/>
          <w:color w:val="000000"/>
          <w:sz w:val="32"/>
        </w:rPr>
        <w:t>昆生环复〔2026〕1</w:t>
      </w:r>
      <w:r>
        <w:rPr>
          <w:rFonts w:hint="eastAsia" w:ascii="Times New Roman" w:hAnsi="Times New Roman" w:eastAsia="仿宋_GB2312"/>
          <w:color w:val="000000"/>
          <w:sz w:val="32"/>
        </w:rPr>
        <w:t>2</w:t>
      </w:r>
      <w:r>
        <w:rPr>
          <w:rFonts w:ascii="Times New Roman" w:hAnsi="Times New Roman" w:eastAsia="仿宋_GB2312"/>
          <w:color w:val="000000"/>
          <w:sz w:val="32"/>
        </w:rPr>
        <w:t>-</w:t>
      </w:r>
      <w:r>
        <w:rPr>
          <w:rFonts w:hint="eastAsia" w:ascii="Times New Roman" w:hAnsi="Times New Roman" w:eastAsia="仿宋_GB2312"/>
          <w:color w:val="000000"/>
          <w:sz w:val="32"/>
        </w:rPr>
        <w:t>1</w:t>
      </w:r>
      <w:r>
        <w:rPr>
          <w:rFonts w:ascii="Times New Roman" w:hAnsi="Times New Roman" w:eastAsia="仿宋_GB2312"/>
          <w:color w:val="000000"/>
          <w:sz w:val="32"/>
        </w:rPr>
        <w:t>号</w:t>
      </w:r>
    </w:p>
    <w:bookmarkEnd w:id="0"/>
    <w:p>
      <w:pPr>
        <w:jc w:val="center"/>
        <w:rPr>
          <w:rFonts w:ascii="Times New Roman" w:hAnsi="Times New Roman" w:eastAsia="仿宋_GB2312"/>
          <w:color w:val="000000"/>
          <w:sz w:val="32"/>
        </w:rPr>
      </w:pPr>
    </w:p>
    <w:p>
      <w:pPr>
        <w:rPr>
          <w:rFonts w:ascii="Times New Roman" w:hAnsi="Times New Roman"/>
          <w:sz w:val="32"/>
          <w:szCs w:val="32"/>
        </w:rPr>
      </w:pPr>
    </w:p>
    <w:p>
      <w:pPr>
        <w:suppressAutoHyphens/>
        <w:spacing w:line="700" w:lineRule="exact"/>
        <w:jc w:val="center"/>
        <w:rPr>
          <w:rFonts w:ascii="Times New Roman" w:hAnsi="Times New Roman" w:eastAsia="方正小标宋简体"/>
          <w:sz w:val="44"/>
          <w:szCs w:val="44"/>
        </w:rPr>
      </w:pPr>
      <w:r>
        <w:rPr>
          <w:rFonts w:hint="eastAsia" w:ascii="方正小标宋简体" w:hAnsi="方正小标宋简体" w:eastAsia="方正小标宋简体"/>
          <w:sz w:val="44"/>
          <w:szCs w:val="44"/>
        </w:rPr>
        <w:t>昆明市生态环境局关于《宜良润亿粮油</w:t>
      </w:r>
    </w:p>
    <w:p>
      <w:pPr>
        <w:suppressAutoHyphens/>
        <w:spacing w:line="700" w:lineRule="exact"/>
        <w:jc w:val="center"/>
        <w:rPr>
          <w:rFonts w:hint="eastAsia" w:ascii="Times New Roman" w:hAnsi="Times New Roman" w:eastAsia="方正小标宋简体"/>
          <w:sz w:val="44"/>
          <w:szCs w:val="44"/>
        </w:rPr>
      </w:pPr>
      <w:r>
        <w:rPr>
          <w:rFonts w:hint="eastAsia" w:ascii="方正小标宋简体" w:hAnsi="方正小标宋简体" w:eastAsia="方正小标宋简体"/>
          <w:sz w:val="44"/>
          <w:szCs w:val="44"/>
        </w:rPr>
        <w:t>有限责任公司新建年产</w:t>
      </w:r>
      <w:r>
        <w:rPr>
          <w:rFonts w:hint="eastAsia" w:ascii="Times New Roman" w:hAnsi="Times New Roman" w:eastAsia="方正小标宋简体"/>
          <w:sz w:val="44"/>
          <w:szCs w:val="44"/>
        </w:rPr>
        <w:t>6</w:t>
      </w:r>
      <w:r>
        <w:rPr>
          <w:rFonts w:hint="eastAsia" w:ascii="方正小标宋简体" w:hAnsi="方正小标宋简体" w:eastAsia="方正小标宋简体"/>
          <w:sz w:val="44"/>
          <w:szCs w:val="44"/>
        </w:rPr>
        <w:t>万吨猪油生产线项目环境影响报告表》的批复</w:t>
      </w:r>
    </w:p>
    <w:p>
      <w:pPr>
        <w:suppressAutoHyphens/>
        <w:spacing w:line="700" w:lineRule="exact"/>
        <w:rPr>
          <w:rFonts w:hint="eastAsia" w:ascii="Times New Roman" w:hAnsi="Times New Roman"/>
          <w:sz w:val="32"/>
          <w:szCs w:val="32"/>
        </w:rPr>
      </w:pPr>
      <w:r>
        <w:rPr>
          <w:rFonts w:ascii="Times New Roman" w:hAnsi="Times New Roman"/>
          <w:sz w:val="32"/>
          <w:szCs w:val="32"/>
        </w:rPr>
        <w:t xml:space="preserve"> </w:t>
      </w:r>
    </w:p>
    <w:p>
      <w:pPr>
        <w:suppressAutoHyphens/>
        <w:spacing w:line="560" w:lineRule="exact"/>
        <w:rPr>
          <w:rFonts w:ascii="Times New Roman" w:hAnsi="Times New Roman" w:eastAsia="仿宋_GB2312"/>
          <w:sz w:val="32"/>
          <w:szCs w:val="32"/>
          <w:highlight w:val="yellow"/>
        </w:rPr>
      </w:pPr>
      <w:r>
        <w:rPr>
          <w:rFonts w:ascii="仿宋_GB2312" w:hAnsi="Times New Roman" w:eastAsia="仿宋_GB2312"/>
          <w:sz w:val="32"/>
          <w:szCs w:val="32"/>
        </w:rPr>
        <w:t>宜良润亿粮油有限责任公司：</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你单位委托云南十诚环保科技有限公司编制的《宜良润亿粮油有限责任公司新建年产</w:t>
      </w:r>
      <w:r>
        <w:rPr>
          <w:rFonts w:ascii="Times New Roman" w:hAnsi="Times New Roman" w:eastAsia="仿宋_GB2312"/>
          <w:sz w:val="32"/>
          <w:szCs w:val="32"/>
        </w:rPr>
        <w:t>6</w:t>
      </w:r>
      <w:r>
        <w:rPr>
          <w:rFonts w:ascii="仿宋_GB2312" w:hAnsi="Times New Roman" w:eastAsia="仿宋_GB2312"/>
          <w:sz w:val="32"/>
          <w:szCs w:val="32"/>
        </w:rPr>
        <w:t>万吨猪油生产线项目环境影响报告表》（以下简称《报告表》，项目代码：</w:t>
      </w:r>
      <w:r>
        <w:rPr>
          <w:rFonts w:ascii="Times New Roman" w:hAnsi="Times New Roman" w:eastAsia="仿宋_GB2312"/>
          <w:sz w:val="32"/>
          <w:szCs w:val="32"/>
        </w:rPr>
        <w:t>2512-530125-04-01-893497</w:t>
      </w:r>
      <w:r>
        <w:rPr>
          <w:rFonts w:ascii="仿宋_GB2312" w:hAnsi="Times New Roman" w:eastAsia="仿宋_GB2312"/>
          <w:sz w:val="32"/>
          <w:szCs w:val="32"/>
        </w:rPr>
        <w:t>）收悉。根据《中华人民共和国环境影响评价法》第二十二条、《建设项目环境保护管理条例》第九条，经研究，批复如下：</w:t>
      </w:r>
    </w:p>
    <w:p>
      <w:pPr>
        <w:suppressAutoHyphens/>
        <w:spacing w:line="560" w:lineRule="exact"/>
        <w:ind w:firstLine="640" w:firstLineChars="200"/>
        <w:rPr>
          <w:rFonts w:ascii="Times New Roman" w:hAnsi="Times New Roman" w:eastAsia="仿宋_GB2312"/>
          <w:color w:val="000000"/>
          <w:sz w:val="32"/>
          <w:szCs w:val="32"/>
        </w:rPr>
      </w:pPr>
      <w:r>
        <w:rPr>
          <w:rFonts w:ascii="仿宋_GB2312" w:hAnsi="Times New Roman" w:eastAsia="仿宋_GB2312"/>
          <w:sz w:val="32"/>
          <w:szCs w:val="32"/>
        </w:rPr>
        <w:t>一、项目建设地点位于云南省昆明市宜良县狗街镇食品工业园区。利用云南国联食品有限公司现有闲置厂房，新建</w:t>
      </w:r>
      <w:r>
        <w:rPr>
          <w:rFonts w:ascii="Times New Roman" w:hAnsi="Times New Roman" w:eastAsia="仿宋_GB2312"/>
          <w:sz w:val="32"/>
          <w:szCs w:val="32"/>
        </w:rPr>
        <w:t>1</w:t>
      </w:r>
      <w:r>
        <w:rPr>
          <w:rFonts w:ascii="仿宋_GB2312" w:hAnsi="Times New Roman" w:eastAsia="仿宋_GB2312"/>
          <w:sz w:val="32"/>
          <w:szCs w:val="32"/>
        </w:rPr>
        <w:t>条年产</w:t>
      </w:r>
      <w:r>
        <w:rPr>
          <w:rFonts w:ascii="Times New Roman" w:hAnsi="Times New Roman" w:eastAsia="仿宋_GB2312"/>
          <w:sz w:val="32"/>
          <w:szCs w:val="32"/>
        </w:rPr>
        <w:t>5.4</w:t>
      </w:r>
      <w:r>
        <w:rPr>
          <w:rFonts w:ascii="仿宋_GB2312" w:hAnsi="Times New Roman" w:eastAsia="仿宋_GB2312"/>
          <w:sz w:val="32"/>
          <w:szCs w:val="32"/>
        </w:rPr>
        <w:t>万吨饲料用猪油生产线、</w:t>
      </w:r>
      <w:r>
        <w:rPr>
          <w:rFonts w:ascii="Times New Roman" w:hAnsi="Times New Roman" w:eastAsia="仿宋_GB2312"/>
          <w:sz w:val="32"/>
          <w:szCs w:val="32"/>
        </w:rPr>
        <w:t>1</w:t>
      </w:r>
      <w:r>
        <w:rPr>
          <w:rFonts w:ascii="仿宋_GB2312" w:hAnsi="Times New Roman" w:eastAsia="仿宋_GB2312"/>
          <w:sz w:val="32"/>
          <w:szCs w:val="32"/>
        </w:rPr>
        <w:t>条年产</w:t>
      </w:r>
      <w:r>
        <w:rPr>
          <w:rFonts w:ascii="Times New Roman" w:hAnsi="Times New Roman" w:eastAsia="仿宋_GB2312"/>
          <w:sz w:val="32"/>
          <w:szCs w:val="32"/>
        </w:rPr>
        <w:t>0.6</w:t>
      </w:r>
      <w:r>
        <w:rPr>
          <w:rFonts w:ascii="仿宋_GB2312" w:hAnsi="Times New Roman" w:eastAsia="仿宋_GB2312"/>
          <w:sz w:val="32"/>
          <w:szCs w:val="32"/>
        </w:rPr>
        <w:t>万吨食用级精炼猪油生产线，并配套建设相关附属设施，项目建成后年产</w:t>
      </w:r>
      <w:r>
        <w:rPr>
          <w:rFonts w:ascii="Times New Roman" w:hAnsi="Times New Roman" w:eastAsia="仿宋_GB2312"/>
          <w:sz w:val="32"/>
          <w:szCs w:val="32"/>
        </w:rPr>
        <w:t>6</w:t>
      </w:r>
      <w:r>
        <w:rPr>
          <w:rFonts w:ascii="仿宋_GB2312" w:hAnsi="Times New Roman" w:eastAsia="仿宋_GB2312"/>
          <w:sz w:val="32"/>
          <w:szCs w:val="32"/>
        </w:rPr>
        <w:t>万吨猪油。</w:t>
      </w:r>
    </w:p>
    <w:p>
      <w:pPr>
        <w:suppressAutoHyphens/>
        <w:spacing w:line="560" w:lineRule="exact"/>
        <w:ind w:firstLine="640" w:firstLineChars="200"/>
        <w:rPr>
          <w:rFonts w:ascii="Times New Roman" w:hAnsi="Times New Roman" w:eastAsia="仿宋_GB2312"/>
          <w:color w:val="000000"/>
          <w:kern w:val="0"/>
          <w:sz w:val="32"/>
          <w:szCs w:val="32"/>
        </w:rPr>
      </w:pPr>
      <w:r>
        <w:rPr>
          <w:rFonts w:ascii="仿宋_GB2312" w:hAnsi="Times New Roman" w:eastAsia="仿宋_GB2312"/>
          <w:color w:val="000000"/>
          <w:kern w:val="0"/>
          <w:sz w:val="32"/>
          <w:szCs w:val="32"/>
        </w:rPr>
        <w:t>项目总投资</w:t>
      </w:r>
      <w:r>
        <w:rPr>
          <w:rFonts w:ascii="Times New Roman" w:hAnsi="Times New Roman" w:eastAsia="仿宋_GB2312"/>
          <w:color w:val="000000"/>
          <w:kern w:val="0"/>
          <w:sz w:val="32"/>
          <w:szCs w:val="32"/>
        </w:rPr>
        <w:t>1500</w:t>
      </w:r>
      <w:r>
        <w:rPr>
          <w:rFonts w:ascii="仿宋_GB2312" w:hAnsi="Times New Roman" w:eastAsia="仿宋_GB2312"/>
          <w:color w:val="000000"/>
          <w:kern w:val="0"/>
          <w:sz w:val="32"/>
          <w:szCs w:val="32"/>
        </w:rPr>
        <w:t>万元，其中环保投资</w:t>
      </w:r>
      <w:r>
        <w:rPr>
          <w:rFonts w:ascii="Times New Roman" w:hAnsi="Times New Roman" w:eastAsia="仿宋_GB2312"/>
          <w:color w:val="000000"/>
          <w:kern w:val="0"/>
          <w:sz w:val="32"/>
          <w:szCs w:val="32"/>
        </w:rPr>
        <w:t>100.5</w:t>
      </w:r>
      <w:r>
        <w:rPr>
          <w:rFonts w:ascii="仿宋_GB2312" w:hAnsi="Times New Roman" w:eastAsia="仿宋_GB2312"/>
          <w:color w:val="000000"/>
          <w:kern w:val="0"/>
          <w:sz w:val="32"/>
          <w:szCs w:val="32"/>
        </w:rPr>
        <w:t>万元。</w:t>
      </w:r>
    </w:p>
    <w:p>
      <w:pPr>
        <w:suppressAutoHyphens/>
        <w:spacing w:line="560" w:lineRule="exact"/>
        <w:ind w:firstLine="640" w:firstLineChars="200"/>
        <w:rPr>
          <w:rFonts w:ascii="Times New Roman" w:hAnsi="Times New Roman" w:eastAsia="仿宋_GB2312"/>
          <w:spacing w:val="-6"/>
          <w:sz w:val="32"/>
          <w:szCs w:val="32"/>
        </w:rPr>
      </w:pPr>
      <w:r>
        <w:rPr>
          <w:rFonts w:ascii="仿宋_GB2312" w:hAnsi="Times New Roman" w:eastAsia="仿宋_GB2312"/>
          <w:color w:val="000000"/>
          <w:kern w:val="0"/>
          <w:sz w:val="32"/>
          <w:szCs w:val="32"/>
        </w:rPr>
        <w:t>根据昆明市生态环境工程评估中心出具的《关于对〈宜良润亿粮油有限责任公司新建年产</w:t>
      </w:r>
      <w:r>
        <w:rPr>
          <w:rFonts w:ascii="Times New Roman" w:hAnsi="Times New Roman" w:eastAsia="仿宋_GB2312"/>
          <w:color w:val="000000"/>
          <w:kern w:val="0"/>
          <w:sz w:val="32"/>
          <w:szCs w:val="32"/>
        </w:rPr>
        <w:t>6</w:t>
      </w:r>
      <w:r>
        <w:rPr>
          <w:rFonts w:ascii="仿宋_GB2312" w:hAnsi="Times New Roman" w:eastAsia="仿宋_GB2312"/>
          <w:color w:val="000000"/>
          <w:kern w:val="0"/>
          <w:sz w:val="32"/>
          <w:szCs w:val="32"/>
        </w:rPr>
        <w:t>万吨猪油生产线项目环境影响报告表〉的技术评估意见》（昆环评估意见〔</w:t>
      </w:r>
      <w:r>
        <w:rPr>
          <w:rFonts w:ascii="Times New Roman" w:hAnsi="Times New Roman" w:eastAsia="仿宋_GB2312"/>
          <w:color w:val="000000"/>
          <w:kern w:val="0"/>
          <w:sz w:val="32"/>
          <w:szCs w:val="32"/>
        </w:rPr>
        <w:t>2026</w:t>
      </w:r>
      <w:r>
        <w:rPr>
          <w:rFonts w:ascii="仿宋_GB2312" w:hAnsi="Times New Roman" w:eastAsia="仿宋_GB2312"/>
          <w:color w:val="000000"/>
          <w:kern w:val="0"/>
          <w:sz w:val="32"/>
          <w:szCs w:val="32"/>
        </w:rPr>
        <w:t>〕</w:t>
      </w:r>
      <w:r>
        <w:rPr>
          <w:rFonts w:ascii="Times New Roman" w:hAnsi="Times New Roman" w:eastAsia="仿宋_GB2312"/>
          <w:color w:val="000000"/>
          <w:kern w:val="0"/>
          <w:sz w:val="32"/>
          <w:szCs w:val="32"/>
        </w:rPr>
        <w:t>12-3</w:t>
      </w:r>
      <w:r>
        <w:rPr>
          <w:rFonts w:ascii="仿宋_GB2312" w:hAnsi="Times New Roman" w:eastAsia="仿宋_GB2312"/>
          <w:color w:val="000000"/>
          <w:kern w:val="0"/>
          <w:sz w:val="32"/>
          <w:szCs w:val="32"/>
        </w:rPr>
        <w:t>号），在全面落实《报告表》提出的各项生态保护和污染防治措施后，项目建设和运营的不良环境影响可以得到缓解和控制，同意项目</w:t>
      </w:r>
      <w:r>
        <w:rPr>
          <w:rFonts w:ascii="仿宋_GB2312" w:hAnsi="Times New Roman" w:eastAsia="仿宋_GB2312"/>
          <w:color w:val="000000"/>
          <w:spacing w:val="-6"/>
          <w:kern w:val="0"/>
          <w:sz w:val="32"/>
          <w:szCs w:val="32"/>
        </w:rPr>
        <w:t>按《报告表》所述工程内容、规模、功能、环保对策措施进行建设</w:t>
      </w:r>
      <w:r>
        <w:rPr>
          <w:rFonts w:ascii="仿宋_GB2312" w:hAnsi="Times New Roman" w:eastAsia="仿宋_GB2312"/>
          <w:spacing w:val="-6"/>
          <w:sz w:val="32"/>
          <w:szCs w:val="32"/>
        </w:rPr>
        <w:t>。</w:t>
      </w:r>
    </w:p>
    <w:p>
      <w:pPr>
        <w:suppressAutoHyphens/>
        <w:spacing w:line="560" w:lineRule="exact"/>
        <w:ind w:left="640"/>
        <w:rPr>
          <w:rFonts w:ascii="Times New Roman" w:hAnsi="Times New Roman" w:eastAsia="仿宋_GB2312"/>
          <w:color w:val="000000"/>
          <w:sz w:val="32"/>
          <w:szCs w:val="32"/>
        </w:rPr>
      </w:pPr>
      <w:r>
        <w:rPr>
          <w:rFonts w:hint="eastAsia" w:ascii="仿宋_GB2312" w:hAnsi="Times New Roman" w:eastAsia="仿宋_GB2312"/>
          <w:color w:val="000000"/>
          <w:sz w:val="32"/>
          <w:szCs w:val="32"/>
        </w:rPr>
        <w:t>二、</w:t>
      </w:r>
      <w:r>
        <w:rPr>
          <w:rFonts w:ascii="仿宋_GB2312" w:hAnsi="Times New Roman" w:eastAsia="仿宋_GB2312"/>
          <w:color w:val="000000"/>
          <w:sz w:val="32"/>
          <w:szCs w:val="32"/>
        </w:rPr>
        <w:t>项目建设及营运期间重点做好以下工作：</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（一）严格按照</w:t>
      </w:r>
      <w:r>
        <w:rPr>
          <w:rFonts w:ascii="Times New Roman" w:hAnsi="Times New Roman" w:eastAsia="仿宋_GB2312"/>
          <w:sz w:val="32"/>
          <w:szCs w:val="32"/>
        </w:rPr>
        <w:t>“</w:t>
      </w:r>
      <w:r>
        <w:rPr>
          <w:rFonts w:ascii="仿宋_GB2312" w:hAnsi="Times New Roman" w:eastAsia="仿宋_GB2312"/>
          <w:sz w:val="32"/>
          <w:szCs w:val="32"/>
        </w:rPr>
        <w:t>雨污分流、清污分流、分质处理、回收</w:t>
      </w:r>
      <w:r>
        <w:rPr>
          <w:rFonts w:hint="eastAsia" w:ascii="仿宋_GB2312" w:hAnsi="Times New Roman" w:eastAsia="仿宋_GB2312"/>
          <w:sz w:val="32"/>
          <w:szCs w:val="32"/>
        </w:rPr>
        <w:t>利用”的原则建设给排水、污水处理及回用系统，并与区域排</w:t>
      </w:r>
      <w:r>
        <w:rPr>
          <w:rFonts w:ascii="仿宋_GB2312" w:hAnsi="Times New Roman" w:eastAsia="仿宋_GB2312"/>
          <w:sz w:val="32"/>
          <w:szCs w:val="32"/>
        </w:rPr>
        <w:t>水系统相协调。</w:t>
      </w:r>
    </w:p>
    <w:p>
      <w:pPr>
        <w:suppressAutoHyphens/>
        <w:spacing w:line="560" w:lineRule="exact"/>
        <w:ind w:firstLine="640" w:firstLineChars="200"/>
        <w:rPr>
          <w:rFonts w:ascii="Times New Roman" w:hAnsi="Times New Roman" w:eastAsia="仿宋_GB2312"/>
          <w:spacing w:val="-20"/>
          <w:sz w:val="32"/>
          <w:szCs w:val="32"/>
        </w:rPr>
      </w:pPr>
      <w:r>
        <w:rPr>
          <w:rFonts w:ascii="仿宋_GB2312" w:hAnsi="Times New Roman" w:eastAsia="仿宋_GB2312"/>
          <w:sz w:val="32"/>
          <w:szCs w:val="32"/>
        </w:rPr>
        <w:t>项目运营期生产废水和生活污水经处理达《屠宰及肉类加工工业水污染物排放标准》（</w:t>
      </w:r>
      <w:r>
        <w:rPr>
          <w:rFonts w:ascii="Times New Roman" w:hAnsi="Times New Roman" w:eastAsia="仿宋_GB2312"/>
          <w:sz w:val="32"/>
          <w:szCs w:val="32"/>
        </w:rPr>
        <w:t>GB13457-2025</w:t>
      </w:r>
      <w:r>
        <w:rPr>
          <w:rFonts w:ascii="仿宋_GB2312" w:hAnsi="Times New Roman" w:eastAsia="仿宋_GB2312"/>
          <w:sz w:val="32"/>
          <w:szCs w:val="32"/>
        </w:rPr>
        <w:t>）表</w:t>
      </w:r>
      <w:r>
        <w:rPr>
          <w:rFonts w:ascii="Times New Roman" w:hAnsi="Times New Roman" w:eastAsia="仿宋_GB2312"/>
          <w:sz w:val="32"/>
          <w:szCs w:val="32"/>
        </w:rPr>
        <w:t>1</w:t>
      </w:r>
      <w:r>
        <w:rPr>
          <w:rFonts w:ascii="仿宋_GB2312" w:hAnsi="Times New Roman" w:eastAsia="仿宋_GB2312"/>
          <w:sz w:val="32"/>
          <w:szCs w:val="32"/>
        </w:rPr>
        <w:t>中间接排放标准要求、《污水综合排放标准》（</w:t>
      </w:r>
      <w:r>
        <w:rPr>
          <w:rFonts w:ascii="Times New Roman" w:hAnsi="Times New Roman" w:eastAsia="仿宋_GB2312"/>
          <w:sz w:val="32"/>
          <w:szCs w:val="32"/>
        </w:rPr>
        <w:t>GB8978-1996</w:t>
      </w:r>
      <w:r>
        <w:rPr>
          <w:rFonts w:ascii="仿宋_GB2312" w:hAnsi="Times New Roman" w:eastAsia="仿宋_GB2312"/>
          <w:sz w:val="32"/>
          <w:szCs w:val="32"/>
        </w:rPr>
        <w:t>）表</w:t>
      </w:r>
      <w:r>
        <w:rPr>
          <w:rFonts w:ascii="Times New Roman" w:hAnsi="Times New Roman" w:eastAsia="仿宋_GB2312"/>
          <w:sz w:val="32"/>
          <w:szCs w:val="32"/>
        </w:rPr>
        <w:t>4</w:t>
      </w:r>
      <w:r>
        <w:rPr>
          <w:rFonts w:ascii="仿宋_GB2312" w:hAnsi="Times New Roman" w:eastAsia="仿宋_GB2312"/>
          <w:sz w:val="32"/>
          <w:szCs w:val="32"/>
        </w:rPr>
        <w:t>中三级</w:t>
      </w:r>
      <w:r>
        <w:rPr>
          <w:rFonts w:ascii="仿宋_GB2312" w:hAnsi="Times New Roman" w:eastAsia="仿宋_GB2312"/>
          <w:spacing w:val="-20"/>
          <w:sz w:val="32"/>
          <w:szCs w:val="32"/>
        </w:rPr>
        <w:t>标准后排入东河截污管网，最终进入宜良县第二污水处理厂处理。</w:t>
      </w:r>
    </w:p>
    <w:p>
      <w:pPr>
        <w:suppressAutoHyphens/>
        <w:spacing w:line="560" w:lineRule="exact"/>
        <w:ind w:firstLine="640" w:firstLineChars="200"/>
        <w:rPr>
          <w:rFonts w:ascii="Times New Roman" w:hAnsi="Times New Roman" w:eastAsia="仿宋_GB2312"/>
          <w:color w:val="FF0000"/>
          <w:sz w:val="32"/>
          <w:szCs w:val="32"/>
        </w:rPr>
      </w:pPr>
      <w:r>
        <w:rPr>
          <w:rFonts w:ascii="仿宋_GB2312" w:hAnsi="Times New Roman" w:eastAsia="仿宋_GB2312"/>
          <w:sz w:val="32"/>
          <w:szCs w:val="32"/>
        </w:rPr>
        <w:t>施工期施工人员生活污水依托已建成的化粪池处理达到《污水综合排放标准》（</w:t>
      </w:r>
      <w:r>
        <w:rPr>
          <w:rFonts w:ascii="Times New Roman" w:hAnsi="Times New Roman" w:eastAsia="仿宋_GB2312"/>
          <w:sz w:val="32"/>
          <w:szCs w:val="32"/>
        </w:rPr>
        <w:t>GB8978-1996</w:t>
      </w:r>
      <w:r>
        <w:rPr>
          <w:rFonts w:ascii="仿宋_GB2312" w:hAnsi="Times New Roman" w:eastAsia="仿宋_GB2312"/>
          <w:sz w:val="32"/>
          <w:szCs w:val="32"/>
        </w:rPr>
        <w:t>）表</w:t>
      </w:r>
      <w:r>
        <w:rPr>
          <w:rFonts w:ascii="Times New Roman" w:hAnsi="Times New Roman" w:eastAsia="仿宋_GB2312"/>
          <w:sz w:val="32"/>
          <w:szCs w:val="32"/>
        </w:rPr>
        <w:t>4</w:t>
      </w:r>
      <w:r>
        <w:rPr>
          <w:rFonts w:ascii="仿宋_GB2312" w:hAnsi="Times New Roman" w:eastAsia="仿宋_GB2312"/>
          <w:sz w:val="32"/>
          <w:szCs w:val="32"/>
        </w:rPr>
        <w:t>中三级标准后排入东河截污管网，最终进入宜良县第二污水处理厂处理。</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（二）严格落实大气污染防治措施。</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项目共设置</w:t>
      </w:r>
      <w:r>
        <w:rPr>
          <w:rFonts w:ascii="Times New Roman" w:hAnsi="Times New Roman" w:eastAsia="仿宋_GB2312"/>
          <w:sz w:val="32"/>
          <w:szCs w:val="32"/>
        </w:rPr>
        <w:t>2</w:t>
      </w:r>
      <w:r>
        <w:rPr>
          <w:rFonts w:ascii="仿宋_GB2312" w:hAnsi="Times New Roman" w:eastAsia="仿宋_GB2312"/>
          <w:sz w:val="32"/>
          <w:szCs w:val="32"/>
        </w:rPr>
        <w:t>根排气筒，熬制工序产生的废气经处理通过不低于</w:t>
      </w:r>
      <w:r>
        <w:rPr>
          <w:rFonts w:ascii="Times New Roman" w:hAnsi="Times New Roman" w:eastAsia="仿宋_GB2312"/>
          <w:sz w:val="32"/>
          <w:szCs w:val="32"/>
        </w:rPr>
        <w:t>15</w:t>
      </w:r>
      <w:r>
        <w:rPr>
          <w:rFonts w:ascii="仿宋_GB2312" w:hAnsi="Times New Roman" w:eastAsia="仿宋_GB2312"/>
          <w:sz w:val="32"/>
          <w:szCs w:val="32"/>
        </w:rPr>
        <w:t>米排气筒排放，导热油锅炉燃烧废气经处理通过不低于</w:t>
      </w:r>
      <w:r>
        <w:rPr>
          <w:rFonts w:ascii="Times New Roman" w:hAnsi="Times New Roman" w:eastAsia="仿宋_GB2312"/>
          <w:sz w:val="32"/>
          <w:szCs w:val="32"/>
        </w:rPr>
        <w:t>35</w:t>
      </w:r>
      <w:r>
        <w:rPr>
          <w:rFonts w:ascii="仿宋_GB2312" w:hAnsi="Times New Roman" w:eastAsia="仿宋_GB2312"/>
          <w:sz w:val="32"/>
          <w:szCs w:val="32"/>
        </w:rPr>
        <w:t>米排气筒排放。</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项目熬制工序产生的非甲烷总烃排放执行《大气污染物综合排放标准》（</w:t>
      </w:r>
      <w:r>
        <w:rPr>
          <w:rFonts w:ascii="Times New Roman" w:hAnsi="Times New Roman" w:eastAsia="仿宋_GB2312"/>
          <w:sz w:val="32"/>
          <w:szCs w:val="32"/>
        </w:rPr>
        <w:t>GB16297-1996</w:t>
      </w:r>
      <w:r>
        <w:rPr>
          <w:rFonts w:ascii="仿宋_GB2312" w:hAnsi="Times New Roman" w:eastAsia="仿宋_GB2312"/>
          <w:sz w:val="32"/>
          <w:szCs w:val="32"/>
        </w:rPr>
        <w:t>）表</w:t>
      </w:r>
      <w:r>
        <w:rPr>
          <w:rFonts w:ascii="Times New Roman" w:hAnsi="Times New Roman" w:eastAsia="仿宋_GB2312"/>
          <w:sz w:val="32"/>
          <w:szCs w:val="32"/>
        </w:rPr>
        <w:t>2</w:t>
      </w:r>
      <w:r>
        <w:rPr>
          <w:rFonts w:ascii="仿宋_GB2312" w:hAnsi="Times New Roman" w:eastAsia="仿宋_GB2312"/>
          <w:sz w:val="32"/>
          <w:szCs w:val="32"/>
        </w:rPr>
        <w:t>的二级标准限值要求，油烟执行《饮食业油烟排放标准》（</w:t>
      </w:r>
      <w:r>
        <w:rPr>
          <w:rFonts w:ascii="Times New Roman" w:hAnsi="Times New Roman" w:eastAsia="仿宋_GB2312"/>
          <w:sz w:val="32"/>
          <w:szCs w:val="32"/>
        </w:rPr>
        <w:t>GB18483-2001</w:t>
      </w:r>
      <w:r>
        <w:rPr>
          <w:rFonts w:ascii="仿宋_GB2312" w:hAnsi="Times New Roman" w:eastAsia="仿宋_GB2312"/>
          <w:sz w:val="32"/>
          <w:szCs w:val="32"/>
        </w:rPr>
        <w:t>）中的大型标准，臭气浓度执行《恶臭污染物排放标准》（</w:t>
      </w:r>
      <w:r>
        <w:rPr>
          <w:rFonts w:ascii="Times New Roman" w:hAnsi="Times New Roman" w:eastAsia="仿宋_GB2312"/>
          <w:sz w:val="32"/>
          <w:szCs w:val="32"/>
        </w:rPr>
        <w:t>GB14554-93</w:t>
      </w:r>
      <w:r>
        <w:rPr>
          <w:rFonts w:ascii="仿宋_GB2312" w:hAnsi="Times New Roman" w:eastAsia="仿宋_GB2312"/>
          <w:sz w:val="32"/>
          <w:szCs w:val="32"/>
        </w:rPr>
        <w:t>）表</w:t>
      </w:r>
      <w:r>
        <w:rPr>
          <w:rFonts w:ascii="Times New Roman" w:hAnsi="Times New Roman" w:eastAsia="仿宋_GB2312"/>
          <w:sz w:val="32"/>
          <w:szCs w:val="32"/>
        </w:rPr>
        <w:t>2</w:t>
      </w:r>
      <w:r>
        <w:rPr>
          <w:rFonts w:ascii="仿宋_GB2312" w:hAnsi="Times New Roman" w:eastAsia="仿宋_GB2312"/>
          <w:sz w:val="32"/>
          <w:szCs w:val="32"/>
        </w:rPr>
        <w:t>排放标准限值要求。</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生物质导热油锅炉燃烧产生的颗粒物、</w:t>
      </w:r>
      <w:r>
        <w:rPr>
          <w:rFonts w:ascii="Times New Roman" w:hAnsi="Times New Roman" w:eastAsia="仿宋_GB2312"/>
          <w:sz w:val="32"/>
          <w:szCs w:val="32"/>
        </w:rPr>
        <w:t>SO</w:t>
      </w:r>
      <w:r>
        <w:rPr>
          <w:rFonts w:ascii="Times New Roman" w:hAnsi="Times New Roman" w:eastAsia="仿宋_GB2312"/>
          <w:sz w:val="32"/>
          <w:szCs w:val="32"/>
          <w:vertAlign w:val="subscript"/>
        </w:rPr>
        <w:t>2</w:t>
      </w:r>
      <w:r>
        <w:rPr>
          <w:rFonts w:ascii="仿宋_GB2312" w:hAnsi="Times New Roman" w:eastAsia="仿宋_GB2312"/>
          <w:sz w:val="32"/>
          <w:szCs w:val="32"/>
        </w:rPr>
        <w:t>、</w:t>
      </w:r>
      <w:r>
        <w:rPr>
          <w:rFonts w:ascii="Times New Roman" w:hAnsi="Times New Roman" w:eastAsia="仿宋_GB2312"/>
          <w:sz w:val="32"/>
          <w:szCs w:val="32"/>
        </w:rPr>
        <w:t>NOx</w:t>
      </w:r>
      <w:r>
        <w:rPr>
          <w:rFonts w:ascii="仿宋_GB2312" w:hAnsi="Times New Roman" w:eastAsia="仿宋_GB2312"/>
          <w:sz w:val="32"/>
          <w:szCs w:val="32"/>
        </w:rPr>
        <w:t>排放执行《锅炉大气污染物排放标准》（</w:t>
      </w:r>
      <w:r>
        <w:rPr>
          <w:rFonts w:ascii="Times New Roman" w:hAnsi="Times New Roman" w:eastAsia="仿宋_GB2312"/>
          <w:sz w:val="32"/>
          <w:szCs w:val="32"/>
        </w:rPr>
        <w:t>GB13271-2014</w:t>
      </w:r>
      <w:r>
        <w:rPr>
          <w:rFonts w:ascii="仿宋_GB2312" w:hAnsi="Times New Roman" w:eastAsia="仿宋_GB2312"/>
          <w:sz w:val="32"/>
          <w:szCs w:val="32"/>
        </w:rPr>
        <w:t>）中表</w:t>
      </w:r>
      <w:r>
        <w:rPr>
          <w:rFonts w:ascii="Times New Roman" w:hAnsi="Times New Roman" w:eastAsia="仿宋_GB2312"/>
          <w:sz w:val="32"/>
          <w:szCs w:val="32"/>
        </w:rPr>
        <w:t>2</w:t>
      </w:r>
      <w:r>
        <w:rPr>
          <w:rFonts w:ascii="仿宋_GB2312" w:hAnsi="Times New Roman" w:eastAsia="仿宋_GB2312"/>
          <w:sz w:val="32"/>
          <w:szCs w:val="32"/>
        </w:rPr>
        <w:t>新建锅炉大气污染物排放浓度限值中燃气锅炉标准要求。</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项目食堂油烟废气经油烟净化器处理后，执行《饮食业油烟排放标准（试行）》（</w:t>
      </w:r>
      <w:r>
        <w:rPr>
          <w:rFonts w:ascii="Times New Roman" w:hAnsi="Times New Roman" w:eastAsia="仿宋_GB2312"/>
          <w:sz w:val="32"/>
          <w:szCs w:val="32"/>
        </w:rPr>
        <w:t>GB18483-2001</w:t>
      </w:r>
      <w:r>
        <w:rPr>
          <w:rFonts w:ascii="仿宋_GB2312" w:hAnsi="Times New Roman" w:eastAsia="仿宋_GB2312"/>
          <w:sz w:val="32"/>
          <w:szCs w:val="32"/>
        </w:rPr>
        <w:t>）中的小型标准要求。</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厂界无组织废气排放的颗粒物、非甲烷总烃执行《大气污染物综合排放标准》（</w:t>
      </w:r>
      <w:r>
        <w:rPr>
          <w:rFonts w:ascii="Times New Roman" w:hAnsi="Times New Roman" w:eastAsia="仿宋_GB2312"/>
          <w:sz w:val="32"/>
          <w:szCs w:val="32"/>
        </w:rPr>
        <w:t>GB16297-1996</w:t>
      </w:r>
      <w:r>
        <w:rPr>
          <w:rFonts w:ascii="仿宋_GB2312" w:hAnsi="Times New Roman" w:eastAsia="仿宋_GB2312"/>
          <w:sz w:val="32"/>
          <w:szCs w:val="32"/>
        </w:rPr>
        <w:t>）表</w:t>
      </w:r>
      <w:r>
        <w:rPr>
          <w:rFonts w:ascii="Times New Roman" w:hAnsi="Times New Roman" w:eastAsia="仿宋_GB2312"/>
          <w:sz w:val="32"/>
          <w:szCs w:val="32"/>
        </w:rPr>
        <w:t>2</w:t>
      </w:r>
      <w:r>
        <w:rPr>
          <w:rFonts w:ascii="仿宋_GB2312" w:hAnsi="Times New Roman" w:eastAsia="仿宋_GB2312"/>
          <w:sz w:val="32"/>
          <w:szCs w:val="32"/>
        </w:rPr>
        <w:t>中无组织排放标准限值要求；厂界臭气浓度执行《恶臭污染物排放标准》（</w:t>
      </w:r>
      <w:r>
        <w:rPr>
          <w:rFonts w:ascii="Times New Roman" w:hAnsi="Times New Roman" w:eastAsia="仿宋_GB2312"/>
          <w:sz w:val="32"/>
          <w:szCs w:val="32"/>
        </w:rPr>
        <w:t>GB14554-93</w:t>
      </w:r>
      <w:r>
        <w:rPr>
          <w:rFonts w:ascii="仿宋_GB2312" w:hAnsi="Times New Roman" w:eastAsia="仿宋_GB2312"/>
          <w:sz w:val="32"/>
          <w:szCs w:val="32"/>
        </w:rPr>
        <w:t>）表</w:t>
      </w:r>
      <w:r>
        <w:rPr>
          <w:rFonts w:ascii="Times New Roman" w:hAnsi="Times New Roman" w:eastAsia="仿宋_GB2312"/>
          <w:sz w:val="32"/>
          <w:szCs w:val="32"/>
        </w:rPr>
        <w:t>1</w:t>
      </w:r>
      <w:r>
        <w:rPr>
          <w:rFonts w:ascii="仿宋_GB2312" w:hAnsi="Times New Roman" w:eastAsia="仿宋_GB2312"/>
          <w:sz w:val="32"/>
          <w:szCs w:val="32"/>
        </w:rPr>
        <w:t>中二级标准限值要求。</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厂区内非甲烷总烃无组织排放浓度执行《挥发性有机物无组织排放控制标准》（</w:t>
      </w:r>
      <w:r>
        <w:rPr>
          <w:rFonts w:ascii="Times New Roman" w:hAnsi="Times New Roman" w:eastAsia="仿宋_GB2312"/>
          <w:sz w:val="32"/>
          <w:szCs w:val="32"/>
        </w:rPr>
        <w:t>GB37822-2019</w:t>
      </w:r>
      <w:r>
        <w:rPr>
          <w:rFonts w:ascii="仿宋_GB2312" w:hAnsi="Times New Roman" w:eastAsia="仿宋_GB2312"/>
          <w:sz w:val="32"/>
          <w:szCs w:val="32"/>
        </w:rPr>
        <w:t>）要求。</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项目施工期场界须设置围挡，对易起尘物料采取遮盖防风并采取洒水降尘措施等，施工扬尘执行《大气污染物综合排放标准》（</w:t>
      </w:r>
      <w:r>
        <w:rPr>
          <w:rFonts w:ascii="Times New Roman" w:hAnsi="Times New Roman" w:eastAsia="仿宋_GB2312"/>
          <w:sz w:val="32"/>
          <w:szCs w:val="32"/>
        </w:rPr>
        <w:t>GB16297-1996</w:t>
      </w:r>
      <w:r>
        <w:rPr>
          <w:rFonts w:ascii="仿宋_GB2312" w:hAnsi="Times New Roman" w:eastAsia="仿宋_GB2312"/>
          <w:sz w:val="32"/>
          <w:szCs w:val="32"/>
        </w:rPr>
        <w:t>）中的无组织排放监控浓度限值要求。</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（三）严格落实噪声污染防治措施。项目运营期产生噪声的设备及场所应采取隔声、消声、减振降噪措施，项目厂界噪声执行《工业企业厂界环境噪声排放标准》（</w:t>
      </w:r>
      <w:r>
        <w:rPr>
          <w:rFonts w:ascii="Times New Roman" w:hAnsi="Times New Roman" w:eastAsia="仿宋_GB2312"/>
          <w:sz w:val="32"/>
          <w:szCs w:val="32"/>
        </w:rPr>
        <w:t>GB12348-2008</w:t>
      </w:r>
      <w:r>
        <w:rPr>
          <w:rFonts w:ascii="仿宋_GB2312" w:hAnsi="Times New Roman" w:eastAsia="仿宋_GB2312"/>
          <w:sz w:val="32"/>
          <w:szCs w:val="32"/>
        </w:rPr>
        <w:t>）</w:t>
      </w:r>
      <w:r>
        <w:rPr>
          <w:rFonts w:ascii="Times New Roman" w:hAnsi="Times New Roman" w:eastAsia="仿宋_GB2312"/>
          <w:sz w:val="32"/>
          <w:szCs w:val="32"/>
        </w:rPr>
        <w:t>3</w:t>
      </w:r>
      <w:r>
        <w:rPr>
          <w:rFonts w:ascii="仿宋_GB2312" w:hAnsi="Times New Roman" w:eastAsia="仿宋_GB2312"/>
          <w:sz w:val="32"/>
          <w:szCs w:val="32"/>
        </w:rPr>
        <w:t>类标准限值。</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施工过程中合理安排施工时间、文明施工。项目施工期噪声排放执行《建筑施工噪声排放标准》（</w:t>
      </w:r>
      <w:r>
        <w:rPr>
          <w:rFonts w:ascii="Times New Roman" w:hAnsi="Times New Roman" w:eastAsia="仿宋_GB2312"/>
          <w:sz w:val="32"/>
          <w:szCs w:val="32"/>
        </w:rPr>
        <w:t>GB12523-2025</w:t>
      </w:r>
      <w:r>
        <w:rPr>
          <w:rFonts w:ascii="仿宋_GB2312" w:hAnsi="Times New Roman" w:eastAsia="仿宋_GB2312"/>
          <w:sz w:val="32"/>
          <w:szCs w:val="32"/>
        </w:rPr>
        <w:t>）中无组织排放监控浓度限值。</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（四）严格落实固体废物污染防治措施。按照</w:t>
      </w:r>
      <w:r>
        <w:rPr>
          <w:rFonts w:ascii="Times New Roman" w:hAnsi="Times New Roman" w:eastAsia="仿宋_GB2312"/>
          <w:sz w:val="32"/>
          <w:szCs w:val="32"/>
        </w:rPr>
        <w:t>“</w:t>
      </w:r>
      <w:r>
        <w:rPr>
          <w:rFonts w:ascii="仿宋_GB2312" w:hAnsi="Times New Roman" w:eastAsia="仿宋_GB2312"/>
          <w:sz w:val="32"/>
          <w:szCs w:val="32"/>
        </w:rPr>
        <w:t>减量化、资源化、无害化</w:t>
      </w:r>
      <w:r>
        <w:rPr>
          <w:rFonts w:ascii="Times New Roman" w:hAnsi="Times New Roman" w:eastAsia="仿宋_GB2312"/>
          <w:sz w:val="32"/>
          <w:szCs w:val="32"/>
        </w:rPr>
        <w:t>”</w:t>
      </w:r>
      <w:r>
        <w:rPr>
          <w:rFonts w:ascii="仿宋_GB2312" w:hAnsi="Times New Roman" w:eastAsia="仿宋_GB2312"/>
          <w:sz w:val="32"/>
          <w:szCs w:val="32"/>
        </w:rPr>
        <w:t>原则，对固体废物进行分类规范收集，确保不造成二次污染。</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运营期产生的废机油、废紫外灯管、废活性炭等危险废物须分类收集后暂存于危险废物暂存间，定期交由有资质单位清运处置，严格执行《危险废物贮存污染控制标准》（</w:t>
      </w:r>
      <w:r>
        <w:rPr>
          <w:rFonts w:ascii="Times New Roman" w:hAnsi="Times New Roman" w:eastAsia="仿宋_GB2312"/>
          <w:sz w:val="32"/>
          <w:szCs w:val="32"/>
        </w:rPr>
        <w:t>GB18597-2023</w:t>
      </w:r>
      <w:r>
        <w:rPr>
          <w:rFonts w:ascii="仿宋_GB2312" w:hAnsi="Times New Roman" w:eastAsia="仿宋_GB2312"/>
          <w:sz w:val="32"/>
          <w:szCs w:val="32"/>
        </w:rPr>
        <w:t>）、《危险废物收集贮存运输技术规范》（</w:t>
      </w:r>
      <w:r>
        <w:rPr>
          <w:rFonts w:ascii="Times New Roman" w:hAnsi="Times New Roman" w:eastAsia="仿宋_GB2312"/>
          <w:sz w:val="32"/>
          <w:szCs w:val="32"/>
        </w:rPr>
        <w:t>HJ2025-2012</w:t>
      </w:r>
      <w:r>
        <w:rPr>
          <w:rFonts w:ascii="仿宋_GB2312" w:hAnsi="Times New Roman" w:eastAsia="仿宋_GB2312"/>
          <w:sz w:val="32"/>
          <w:szCs w:val="32"/>
        </w:rPr>
        <w:t>）。生物质锅炉灰渣、除尘灰等一般工业固体废物收集后能回收利用的回收利用，不能回收利用的委托有处置能力的单位进行处置；生活垃圾收集后委托环卫部门定期清运处置；隔油池油污、化粪池及污水处理站污泥定期委托有处置能力的单位进行清掏处置。项目运营过程中所产生的一般固体废物存放执行《一般工业固体废物贮存和填埋污染控制标准》（</w:t>
      </w:r>
      <w:r>
        <w:rPr>
          <w:rFonts w:ascii="Times New Roman" w:hAnsi="Times New Roman" w:eastAsia="仿宋_GB2312"/>
          <w:sz w:val="32"/>
          <w:szCs w:val="32"/>
        </w:rPr>
        <w:t>GB18599-2020</w:t>
      </w:r>
      <w:r>
        <w:rPr>
          <w:rFonts w:ascii="仿宋_GB2312" w:hAnsi="Times New Roman" w:eastAsia="仿宋_GB2312"/>
          <w:sz w:val="32"/>
          <w:szCs w:val="32"/>
        </w:rPr>
        <w:t>）。</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项目施工过程中产生建筑垃圾，需按照《云南省建筑垃圾管理办法（试行）》（云政办规〔</w:t>
      </w:r>
      <w:r>
        <w:rPr>
          <w:rFonts w:ascii="Times New Roman" w:hAnsi="Times New Roman" w:eastAsia="仿宋_GB2312"/>
          <w:sz w:val="32"/>
          <w:szCs w:val="32"/>
        </w:rPr>
        <w:t>2024</w:t>
      </w:r>
      <w:r>
        <w:rPr>
          <w:rFonts w:ascii="仿宋_GB2312" w:hAnsi="Times New Roman" w:eastAsia="仿宋_GB2312"/>
          <w:sz w:val="32"/>
          <w:szCs w:val="32"/>
        </w:rPr>
        <w:t>〕</w:t>
      </w:r>
      <w:r>
        <w:rPr>
          <w:rFonts w:ascii="Times New Roman" w:hAnsi="Times New Roman" w:eastAsia="仿宋_GB2312"/>
          <w:sz w:val="32"/>
          <w:szCs w:val="32"/>
        </w:rPr>
        <w:t>4</w:t>
      </w:r>
      <w:r>
        <w:rPr>
          <w:rFonts w:ascii="仿宋_GB2312" w:hAnsi="Times New Roman" w:eastAsia="仿宋_GB2312"/>
          <w:sz w:val="32"/>
          <w:szCs w:val="32"/>
        </w:rPr>
        <w:t>号）的相关规定要求规范处置。</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五）做好环境风险应急管理工作。严格执行《报告表》中风险影响评价中的各项防范措施，并建设相应的风险防范设施，制定突发环境事件应急预案并报市生态环境局宜良分局备案。开展必要的应急培训、宣传和演练。</w:t>
      </w:r>
    </w:p>
    <w:p>
      <w:pPr>
        <w:suppressAutoHyphens/>
        <w:spacing w:line="560" w:lineRule="exact"/>
        <w:ind w:firstLine="640" w:firstLineChars="200"/>
        <w:rPr>
          <w:rFonts w:ascii="Times New Roman" w:hAnsi="Times New Roman" w:eastAsia="仿宋_GB2312"/>
          <w:kern w:val="0"/>
          <w:sz w:val="32"/>
          <w:szCs w:val="32"/>
          <w:shd w:val="clear" w:color="auto" w:fill="FFFFFF"/>
        </w:rPr>
      </w:pPr>
      <w:r>
        <w:rPr>
          <w:rFonts w:ascii="仿宋_GB2312" w:hAnsi="Times New Roman" w:eastAsia="仿宋_GB2312"/>
          <w:sz w:val="32"/>
          <w:szCs w:val="32"/>
        </w:rPr>
        <w:t>（六）污染物总量控制指标：颗粒物</w:t>
      </w:r>
      <w:r>
        <w:rPr>
          <w:rFonts w:ascii="Times New Roman" w:hAnsi="Times New Roman" w:eastAsia="仿宋_GB2312"/>
          <w:sz w:val="32"/>
          <w:szCs w:val="32"/>
        </w:rPr>
        <w:t>0.013t/a</w:t>
      </w:r>
      <w:r>
        <w:rPr>
          <w:rFonts w:ascii="仿宋_GB2312" w:hAnsi="Times New Roman" w:eastAsia="仿宋_GB2312"/>
          <w:sz w:val="32"/>
          <w:szCs w:val="32"/>
        </w:rPr>
        <w:t>，二氧化硫</w:t>
      </w:r>
      <w:r>
        <w:rPr>
          <w:rFonts w:ascii="Times New Roman" w:hAnsi="Times New Roman" w:eastAsia="仿宋_GB2312"/>
          <w:sz w:val="32"/>
          <w:szCs w:val="32"/>
        </w:rPr>
        <w:t>0.443t/a</w:t>
      </w:r>
      <w:r>
        <w:rPr>
          <w:rFonts w:ascii="仿宋_GB2312" w:hAnsi="Times New Roman" w:eastAsia="仿宋_GB2312"/>
          <w:sz w:val="32"/>
          <w:szCs w:val="32"/>
        </w:rPr>
        <w:t>，氮氧化物</w:t>
      </w:r>
      <w:r>
        <w:rPr>
          <w:rFonts w:ascii="Times New Roman" w:hAnsi="Times New Roman" w:eastAsia="仿宋_GB2312"/>
          <w:sz w:val="32"/>
          <w:szCs w:val="32"/>
        </w:rPr>
        <w:t>2.657t/a</w:t>
      </w:r>
      <w:r>
        <w:rPr>
          <w:rFonts w:ascii="仿宋_GB2312" w:hAnsi="Times New Roman" w:eastAsia="仿宋_GB2312"/>
          <w:sz w:val="32"/>
          <w:szCs w:val="32"/>
        </w:rPr>
        <w:t>，非甲烷总烃</w:t>
      </w:r>
      <w:r>
        <w:rPr>
          <w:rFonts w:ascii="Times New Roman" w:hAnsi="Times New Roman" w:eastAsia="仿宋_GB2312"/>
          <w:sz w:val="32"/>
          <w:szCs w:val="32"/>
        </w:rPr>
        <w:t>2.037t/a</w:t>
      </w:r>
      <w:r>
        <w:rPr>
          <w:rFonts w:ascii="仿宋_GB2312" w:hAnsi="Times New Roman" w:eastAsia="仿宋_GB2312"/>
          <w:sz w:val="32"/>
          <w:szCs w:val="32"/>
        </w:rPr>
        <w:t>；非甲烷总烃总量指标来源于昆明宜大化工有限公司、宜良县马街煤矿、宜良县南羊铸造厂、云南云营科技有限公司等</w:t>
      </w:r>
      <w:r>
        <w:rPr>
          <w:rFonts w:ascii="Times New Roman" w:hAnsi="Times New Roman" w:eastAsia="仿宋_GB2312"/>
          <w:sz w:val="32"/>
          <w:szCs w:val="32"/>
        </w:rPr>
        <w:t>4</w:t>
      </w:r>
      <w:r>
        <w:rPr>
          <w:rFonts w:ascii="仿宋_GB2312" w:hAnsi="Times New Roman" w:eastAsia="仿宋_GB2312"/>
          <w:sz w:val="32"/>
          <w:szCs w:val="32"/>
        </w:rPr>
        <w:t>家企业搬迁关停后产生的减排量中调配使用。氮氧化物总量从宜良宝霸石材有限公司、宜良欧石隆矿业有限公司</w:t>
      </w:r>
      <w:r>
        <w:rPr>
          <w:rFonts w:ascii="Times New Roman" w:hAnsi="Times New Roman" w:eastAsia="仿宋_GB2312"/>
          <w:sz w:val="32"/>
          <w:szCs w:val="32"/>
        </w:rPr>
        <w:t>2</w:t>
      </w:r>
      <w:r>
        <w:rPr>
          <w:rFonts w:ascii="仿宋_GB2312" w:hAnsi="Times New Roman" w:eastAsia="仿宋_GB2312"/>
          <w:sz w:val="32"/>
          <w:szCs w:val="32"/>
        </w:rPr>
        <w:t>家企业搬迁关停后产生的减排量中调配使用。</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（七）按照《排污许可管理条例》相关规定，纳入固定污染源排污许可管理的，需在项目启动生产设施或发生实际排污前，依法取得排污许可手续。</w:t>
      </w:r>
    </w:p>
    <w:p>
      <w:pPr>
        <w:suppressAutoHyphens/>
        <w:spacing w:line="560" w:lineRule="exact"/>
        <w:ind w:firstLine="640" w:firstLineChars="200"/>
        <w:rPr>
          <w:rFonts w:ascii="Times New Roman" w:hAnsi="Times New Roman" w:eastAsia="仿宋_GB2312"/>
          <w:spacing w:val="-6"/>
          <w:sz w:val="32"/>
          <w:szCs w:val="32"/>
        </w:rPr>
      </w:pPr>
      <w:r>
        <w:rPr>
          <w:rFonts w:ascii="仿宋_GB2312" w:hAnsi="Times New Roman" w:eastAsia="仿宋_GB2312"/>
          <w:sz w:val="32"/>
          <w:szCs w:val="32"/>
        </w:rPr>
        <w:t>（八）认真组织实施《报告表》提出的环境监测计划，定期</w:t>
      </w:r>
      <w:r>
        <w:rPr>
          <w:rFonts w:ascii="仿宋_GB2312" w:hAnsi="Times New Roman" w:eastAsia="仿宋_GB2312"/>
          <w:spacing w:val="-6"/>
          <w:sz w:val="32"/>
          <w:szCs w:val="32"/>
        </w:rPr>
        <w:t>进行监测，发现异常立即停产，及时查明原因，采取有效控制措施。</w:t>
      </w:r>
    </w:p>
    <w:p>
      <w:pPr>
        <w:adjustRightInd w:val="0"/>
        <w:snapToGrid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w:t>
      </w:r>
      <w:r>
        <w:rPr>
          <w:rFonts w:ascii="仿宋_GB2312" w:hAnsi="Times New Roman" w:eastAsia="仿宋_GB2312"/>
          <w:color w:val="000000"/>
          <w:sz w:val="32"/>
          <w:szCs w:val="32"/>
        </w:rPr>
        <w:t>设计阶段应开展环境保护设计，落实生态保护和环境污染防治的各项措施及投资，严格执行环境保护设施应与主体工程同时设计、同时施工、同时投入使用的环保</w:t>
      </w:r>
      <w:r>
        <w:rPr>
          <w:rFonts w:ascii="Times New Roman" w:hAnsi="Times New Roman" w:eastAsia="仿宋_GB2312"/>
          <w:color w:val="000000"/>
          <w:sz w:val="32"/>
          <w:szCs w:val="32"/>
        </w:rPr>
        <w:t>“</w:t>
      </w:r>
      <w:r>
        <w:rPr>
          <w:rFonts w:ascii="仿宋_GB2312" w:hAnsi="Times New Roman" w:eastAsia="仿宋_GB2312"/>
          <w:color w:val="000000"/>
          <w:sz w:val="32"/>
          <w:szCs w:val="32"/>
        </w:rPr>
        <w:t>三同时</w:t>
      </w:r>
      <w:r>
        <w:rPr>
          <w:rFonts w:ascii="Times New Roman" w:hAnsi="Times New Roman" w:eastAsia="仿宋_GB2312"/>
          <w:color w:val="000000"/>
          <w:sz w:val="32"/>
          <w:szCs w:val="32"/>
        </w:rPr>
        <w:t>”</w:t>
      </w:r>
      <w:r>
        <w:rPr>
          <w:rFonts w:ascii="仿宋_GB2312" w:hAnsi="Times New Roman" w:eastAsia="仿宋_GB2312"/>
          <w:color w:val="000000"/>
          <w:sz w:val="32"/>
          <w:szCs w:val="32"/>
        </w:rPr>
        <w:t>制度。项目建成调试后，按规定自主开展竣工环保验收，经验收合格后方可正式投入运行。</w:t>
      </w:r>
    </w:p>
    <w:p>
      <w:pPr>
        <w:adjustRightInd w:val="0"/>
        <w:snapToGrid w:val="0"/>
        <w:spacing w:line="560" w:lineRule="exact"/>
        <w:ind w:firstLine="640" w:firstLineChars="200"/>
        <w:rPr>
          <w:rFonts w:ascii="Times New Roman" w:hAnsi="Times New Roman" w:eastAsia="仿宋_GB2312"/>
          <w:color w:val="000000"/>
          <w:spacing w:val="-20"/>
          <w:sz w:val="32"/>
          <w:szCs w:val="32"/>
        </w:rPr>
      </w:pPr>
      <w:r>
        <w:rPr>
          <w:rFonts w:ascii="仿宋_GB2312" w:hAnsi="Times New Roman" w:eastAsia="仿宋_GB2312"/>
          <w:sz w:val="32"/>
          <w:szCs w:val="32"/>
        </w:rPr>
        <w:t>四、</w:t>
      </w:r>
      <w:r>
        <w:rPr>
          <w:rFonts w:ascii="仿宋_GB2312" w:hAnsi="Times New Roman" w:eastAsia="仿宋_GB2312"/>
          <w:color w:val="000000"/>
          <w:sz w:val="32"/>
          <w:szCs w:val="32"/>
        </w:rPr>
        <w:t>项目的性质、规模、地点、采用的生产工艺或者防治污染、防止生态破坏的措施发生重大变动的，应当重新报批建设项目的环境影响评价文件。自本批复之日起超过五年，方决</w:t>
      </w:r>
      <w:r>
        <w:rPr>
          <w:rFonts w:ascii="仿宋_GB2312" w:hAnsi="Times New Roman" w:eastAsia="仿宋_GB2312"/>
          <w:color w:val="000000"/>
          <w:spacing w:val="-20"/>
          <w:sz w:val="32"/>
          <w:szCs w:val="32"/>
        </w:rPr>
        <w:t>定该项目开工建设的，环境影响评价文件应当报我局重新审核。</w:t>
      </w:r>
    </w:p>
    <w:p>
      <w:pPr>
        <w:suppressAutoHyphens/>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五、你单位</w:t>
      </w:r>
      <w:r>
        <w:rPr>
          <w:rFonts w:ascii="仿宋_GB2312" w:hAnsi="Times New Roman" w:eastAsia="仿宋_GB2312"/>
          <w:spacing w:val="-10"/>
          <w:sz w:val="32"/>
          <w:szCs w:val="32"/>
        </w:rPr>
        <w:t>应按规定接受各级生态环境主管部门的监督检查。</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请市生态环境局宜良分局负责组织项目环境现场执法和日常监督管理，请市生态环境保护综合行政执法支队加强监督检查。</w:t>
      </w:r>
    </w:p>
    <w:p>
      <w:pPr>
        <w:suppressAutoHyphens/>
        <w:adjustRightInd w:val="0"/>
        <w:spacing w:line="560" w:lineRule="exact"/>
        <w:ind w:firstLine="640" w:firstLineChars="200"/>
        <w:rPr>
          <w:rFonts w:ascii="Times New Roman" w:hAnsi="Times New Roman" w:eastAsia="仿宋_GB2312"/>
          <w:szCs w:val="21"/>
        </w:rPr>
      </w:pPr>
      <w:r>
        <w:rPr>
          <w:rFonts w:ascii="仿宋_GB2312" w:hAnsi="Times New Roman" w:eastAsia="仿宋_GB2312"/>
          <w:sz w:val="32"/>
          <w:szCs w:val="32"/>
        </w:rPr>
        <w:t>六、依法到其他部门办理相关手续。</w:t>
      </w:r>
    </w:p>
    <w:p>
      <w:pPr>
        <w:suppressAutoHyphens/>
        <w:snapToGrid w:val="0"/>
        <w:spacing w:before="60" w:after="160" w:line="560" w:lineRule="exact"/>
        <w:ind w:right="113"/>
        <w:rPr>
          <w:rFonts w:ascii="Times New Roman" w:hAnsi="Times New Roman" w:eastAsia="仿宋_GB2312"/>
          <w:kern w:val="0"/>
          <w:sz w:val="32"/>
          <w:szCs w:val="32"/>
        </w:rPr>
      </w:pPr>
      <w:r>
        <w:rPr>
          <w:rFonts w:ascii="Times New Roman" w:hAnsi="Times New Roman" w:eastAsia="仿宋_GB2312"/>
          <w:kern w:val="0"/>
          <w:sz w:val="32"/>
          <w:szCs w:val="32"/>
        </w:rPr>
        <w:t xml:space="preserve"> </w:t>
      </w:r>
    </w:p>
    <w:p>
      <w:pPr>
        <w:suppressAutoHyphens/>
        <w:snapToGrid w:val="0"/>
        <w:spacing w:before="60" w:after="160" w:line="560" w:lineRule="exact"/>
        <w:ind w:right="113"/>
        <w:rPr>
          <w:rFonts w:ascii="Times New Roman" w:hAnsi="Times New Roman" w:eastAsia="仿宋_GB2312"/>
          <w:sz w:val="32"/>
          <w:szCs w:val="32"/>
        </w:rPr>
      </w:pPr>
      <w:r>
        <w:rPr>
          <w:rFonts w:ascii="Times New Roman" w:hAnsi="Times New Roman" w:eastAsia="仿宋_GB2312"/>
          <w:kern w:val="0"/>
          <w:sz w:val="32"/>
          <w:szCs w:val="32"/>
        </w:rPr>
        <w:t xml:space="preserve"> </w:t>
      </w:r>
    </w:p>
    <w:p>
      <w:pPr>
        <w:spacing w:line="560" w:lineRule="exact"/>
        <w:ind w:left="630"/>
        <w:rPr>
          <w:rFonts w:ascii="Times New Roman" w:hAnsi="Times New Roman" w:eastAsia="仿宋_GB2312"/>
          <w:sz w:val="32"/>
          <w:szCs w:val="32"/>
        </w:rPr>
      </w:pPr>
    </w:p>
    <w:p>
      <w:pPr>
        <w:suppressAutoHyphens/>
        <w:adjustRightInd w:val="0"/>
        <w:spacing w:line="560" w:lineRule="exact"/>
        <w:ind w:firstLine="640" w:firstLineChars="200"/>
        <w:jc w:val="center"/>
        <w:rPr>
          <w:rFonts w:ascii="Times New Roman" w:hAnsi="Times New Roman"/>
          <w:szCs w:val="21"/>
        </w:rPr>
      </w:pPr>
      <w:r>
        <w:rPr>
          <w:rFonts w:ascii="Times New Roman" w:hAnsi="Times New Roman" w:eastAsia="仿宋_GB2312"/>
          <w:sz w:val="32"/>
          <w:szCs w:val="32"/>
        </w:rPr>
        <w:t xml:space="preserve">                2026年</w:t>
      </w:r>
      <w:r>
        <w:rPr>
          <w:rFonts w:hint="eastAsia" w:ascii="Times New Roman" w:hAnsi="Times New Roman" w:eastAsia="仿宋_GB2312"/>
          <w:sz w:val="32"/>
          <w:szCs w:val="32"/>
        </w:rPr>
        <w:t>2</w:t>
      </w:r>
      <w:r>
        <w:rPr>
          <w:rFonts w:ascii="Times New Roman" w:hAnsi="Times New Roman" w:eastAsia="仿宋_GB2312"/>
          <w:sz w:val="32"/>
          <w:szCs w:val="32"/>
        </w:rPr>
        <w:t>月</w:t>
      </w:r>
      <w:r>
        <w:rPr>
          <w:rFonts w:hint="eastAsia" w:ascii="Times New Roman" w:hAnsi="Times New Roman" w:eastAsia="仿宋_GB2312"/>
          <w:sz w:val="32"/>
          <w:szCs w:val="32"/>
        </w:rPr>
        <w:t>11</w:t>
      </w:r>
      <w:r>
        <w:rPr>
          <w:rFonts w:ascii="Times New Roman" w:hAnsi="Times New Roman" w:eastAsia="仿宋_GB2312"/>
          <w:sz w:val="32"/>
          <w:szCs w:val="32"/>
        </w:rPr>
        <w:t>日</w:t>
      </w: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ascii="Times New Roman" w:hAnsi="Times New Roman" w:eastAsia="仿宋_GB2312"/>
          <w:sz w:val="28"/>
          <w:szCs w:val="28"/>
        </w:rPr>
      </w:pPr>
    </w:p>
    <w:p>
      <w:pPr>
        <w:tabs>
          <w:tab w:val="left" w:pos="5280"/>
        </w:tabs>
        <w:suppressAutoHyphens/>
        <w:autoSpaceDE w:val="0"/>
        <w:autoSpaceDN w:val="0"/>
        <w:adjustRightInd w:val="0"/>
        <w:snapToGrid w:val="0"/>
        <w:spacing w:line="520" w:lineRule="exact"/>
        <w:rPr>
          <w:rFonts w:hint="eastAsia" w:ascii="Times New Roman" w:hAnsi="Times New Roman" w:eastAsia="仿宋_GB2312"/>
          <w:sz w:val="28"/>
          <w:szCs w:val="28"/>
        </w:rPr>
      </w:pPr>
      <w:r>
        <w:rPr>
          <w:rFonts w:ascii="Times New Roman" w:hAnsi="Times New Roman" w:eastAsia="仿宋_GB2312"/>
          <w:sz w:val="28"/>
          <w:szCs w:val="28"/>
        </w:rPr>
        <w:tab/>
      </w: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ascii="Times New Roman" w:hAnsi="Times New Roman" w:eastAsia="仿宋_GB2312"/>
          <w:sz w:val="28"/>
          <w:szCs w:val="28"/>
        </w:rPr>
      </w:pPr>
      <w:r>
        <w:rPr>
          <w:rFonts w:ascii="Times New Roman" w:hAnsi="Times New Roman"/>
          <w:kern w:val="0"/>
          <w:sz w:val="24"/>
          <w:szCs w:val="24"/>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pPr>
        <w:suppressAutoHyphens/>
        <w:autoSpaceDE w:val="0"/>
        <w:autoSpaceDN w:val="0"/>
        <w:adjustRightInd w:val="0"/>
        <w:snapToGrid w:val="0"/>
        <w:spacing w:line="520" w:lineRule="exact"/>
        <w:ind w:left="1138" w:leftChars="142" w:hanging="840" w:hangingChars="300"/>
        <w:rPr>
          <w:rFonts w:ascii="Times New Roman" w:hAnsi="Times New Roman" w:eastAsia="仿宋_GB2312"/>
          <w:sz w:val="28"/>
          <w:szCs w:val="28"/>
        </w:rPr>
      </w:pPr>
      <w:r>
        <w:rPr>
          <w:rFonts w:ascii="Times New Roman" w:hAnsi="Times New Roman" w:eastAsia="仿宋_GB2312"/>
          <w:sz w:val="28"/>
          <w:szCs w:val="28"/>
        </w:rPr>
        <w:t>抄送：</w:t>
      </w:r>
      <w:r>
        <w:rPr>
          <w:rFonts w:hint="eastAsia" w:ascii="仿宋_GB2312" w:hAnsi="Times New Roman" w:eastAsia="仿宋_GB2312"/>
          <w:sz w:val="28"/>
          <w:szCs w:val="28"/>
        </w:rPr>
        <w:t>云南省生态环境厅。市生态环境局宜良分局，市局机关各处室、各直属单位。云南十诚环保科技有限公司</w:t>
      </w:r>
      <w:r>
        <w:rPr>
          <w:rFonts w:ascii="Times New Roman" w:hAnsi="Times New Roman" w:eastAsia="仿宋_GB2312"/>
          <w:sz w:val="28"/>
          <w:szCs w:val="28"/>
        </w:rPr>
        <w:t>。</w:t>
      </w:r>
    </w:p>
    <w:p>
      <w:pPr>
        <w:suppressAutoHyphens/>
        <w:autoSpaceDE w:val="0"/>
        <w:autoSpaceDN w:val="0"/>
        <w:adjustRightInd w:val="0"/>
        <w:snapToGrid w:val="0"/>
        <w:spacing w:line="520" w:lineRule="exact"/>
        <w:ind w:left="1018" w:leftChars="142" w:hanging="720" w:hangingChars="300"/>
        <w:rPr>
          <w:rFonts w:ascii="Times New Roman" w:hAnsi="Times New Roman" w:eastAsia="仿宋_GB2312"/>
          <w:sz w:val="28"/>
          <w:szCs w:val="28"/>
        </w:rPr>
      </w:pPr>
      <w:r>
        <w:rPr>
          <w:rFonts w:ascii="Times New Roman" w:hAnsi="Times New Roman"/>
          <w:kern w:val="0"/>
          <w:sz w:val="24"/>
          <w:szCs w:val="24"/>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Times New Roman" w:hAnsi="Times New Roman"/>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昆明市生态环境局                        2026年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11</w:t>
      </w:r>
      <w:r>
        <w:rPr>
          <w:rFonts w:ascii="Times New Roman" w:hAnsi="Times New Roman" w:eastAsia="仿宋_GB2312"/>
          <w:sz w:val="28"/>
          <w:szCs w:val="28"/>
        </w:rPr>
        <w:t xml:space="preserve">日印发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rPr>
      <w:t>- 6 -</w:t>
    </w:r>
    <w:r>
      <w:rPr>
        <w:rStyle w:val="11"/>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23E3"/>
    <w:rsid w:val="00043538"/>
    <w:rsid w:val="000471A2"/>
    <w:rsid w:val="0004788D"/>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0F0"/>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7B8"/>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5D2E"/>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4647"/>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5FB9"/>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D"/>
    <w:rsid w:val="004B12C8"/>
    <w:rsid w:val="004B2266"/>
    <w:rsid w:val="004B4CBF"/>
    <w:rsid w:val="004B608B"/>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214B"/>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491"/>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857"/>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3C5F"/>
    <w:rsid w:val="007652FA"/>
    <w:rsid w:val="0076565E"/>
    <w:rsid w:val="00767002"/>
    <w:rsid w:val="00767BCC"/>
    <w:rsid w:val="00770011"/>
    <w:rsid w:val="00770DED"/>
    <w:rsid w:val="007711FA"/>
    <w:rsid w:val="00773183"/>
    <w:rsid w:val="00774C4C"/>
    <w:rsid w:val="00776116"/>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4BC0"/>
    <w:rsid w:val="007E6016"/>
    <w:rsid w:val="007E6A88"/>
    <w:rsid w:val="007E6A9A"/>
    <w:rsid w:val="007E6D99"/>
    <w:rsid w:val="007F01F1"/>
    <w:rsid w:val="007F2EF8"/>
    <w:rsid w:val="007F35A9"/>
    <w:rsid w:val="007F5EF3"/>
    <w:rsid w:val="007F7B0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6B4"/>
    <w:rsid w:val="0084776B"/>
    <w:rsid w:val="00847D0F"/>
    <w:rsid w:val="008507B3"/>
    <w:rsid w:val="00850C64"/>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40A0"/>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264EA"/>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0E11"/>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2815"/>
    <w:rsid w:val="009E2F33"/>
    <w:rsid w:val="009E5F66"/>
    <w:rsid w:val="009E7AA6"/>
    <w:rsid w:val="009E7B25"/>
    <w:rsid w:val="009F1087"/>
    <w:rsid w:val="009F28F1"/>
    <w:rsid w:val="009F31D6"/>
    <w:rsid w:val="009F467E"/>
    <w:rsid w:val="009F754E"/>
    <w:rsid w:val="00A006C3"/>
    <w:rsid w:val="00A019CD"/>
    <w:rsid w:val="00A0335C"/>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3DC6"/>
    <w:rsid w:val="00AA4ACA"/>
    <w:rsid w:val="00AB0519"/>
    <w:rsid w:val="00AB0E77"/>
    <w:rsid w:val="00AB308D"/>
    <w:rsid w:val="00AB4693"/>
    <w:rsid w:val="00AB5699"/>
    <w:rsid w:val="00AB56EE"/>
    <w:rsid w:val="00AB5DDC"/>
    <w:rsid w:val="00AC02AC"/>
    <w:rsid w:val="00AC1502"/>
    <w:rsid w:val="00AC1ECC"/>
    <w:rsid w:val="00AC24B1"/>
    <w:rsid w:val="00AC3A83"/>
    <w:rsid w:val="00AC41DA"/>
    <w:rsid w:val="00AC467E"/>
    <w:rsid w:val="00AC4F09"/>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6027"/>
    <w:rsid w:val="00B06D8C"/>
    <w:rsid w:val="00B11BD2"/>
    <w:rsid w:val="00B11C93"/>
    <w:rsid w:val="00B1218E"/>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1F33"/>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1F69"/>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69A"/>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742"/>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27BB9"/>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5BB"/>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1E8F"/>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A2E"/>
    <w:rsid w:val="00F825E5"/>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427A3"/>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rPr>
      <w:szCs w:val="21"/>
    </w:rPr>
  </w:style>
  <w:style w:type="paragraph" w:styleId="3">
    <w:name w:val="Plain Text"/>
    <w:basedOn w:val="1"/>
    <w:link w:val="12"/>
    <w:qFormat/>
    <w:uiPriority w:val="0"/>
    <w:rPr>
      <w:rFonts w:ascii="宋体" w:hAnsi="Courier New"/>
      <w:szCs w:val="20"/>
    </w:rPr>
  </w:style>
  <w:style w:type="paragraph" w:styleId="4">
    <w:name w:val="Date"/>
    <w:basedOn w:val="1"/>
    <w:next w:val="1"/>
    <w:link w:val="13"/>
    <w:unhideWhenUsed/>
    <w:qFormat/>
    <w:uiPriority w:val="99"/>
    <w:pPr>
      <w:ind w:left="100" w:leftChars="2500"/>
    </w:pPr>
  </w:style>
  <w:style w:type="paragraph" w:styleId="5">
    <w:name w:val="Body Text Indent 2"/>
    <w:basedOn w:val="1"/>
    <w:link w:val="14"/>
    <w:uiPriority w:val="0"/>
    <w:pPr>
      <w:spacing w:after="120" w:line="480" w:lineRule="auto"/>
      <w:ind w:left="420" w:leftChars="200"/>
    </w:pPr>
    <w:rPr>
      <w:rFonts w:ascii="Times New Roman" w:hAnsi="Times New Roman"/>
      <w:szCs w:val="21"/>
    </w:rPr>
  </w:style>
  <w:style w:type="paragraph" w:styleId="6">
    <w:name w:val="footer"/>
    <w:basedOn w:val="1"/>
    <w:link w:val="15"/>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0"/>
    <w:rPr>
      <w:rFonts w:ascii="Calibri" w:hAnsi="Calibri" w:eastAsia="宋体" w:cs="Times New Roman"/>
    </w:rPr>
  </w:style>
  <w:style w:type="character" w:customStyle="1" w:styleId="12">
    <w:name w:val="纯文本 Char1"/>
    <w:basedOn w:val="10"/>
    <w:link w:val="3"/>
    <w:semiHidden/>
    <w:qFormat/>
    <w:uiPriority w:val="99"/>
    <w:rPr>
      <w:rFonts w:ascii="宋体" w:hAnsi="Courier New" w:eastAsia="宋体" w:cs="Times New Roman"/>
      <w:szCs w:val="20"/>
    </w:rPr>
  </w:style>
  <w:style w:type="character" w:customStyle="1" w:styleId="13">
    <w:name w:val="日期 Char"/>
    <w:basedOn w:val="10"/>
    <w:link w:val="4"/>
    <w:semiHidden/>
    <w:qFormat/>
    <w:uiPriority w:val="99"/>
    <w:rPr>
      <w:rFonts w:ascii="Calibri" w:hAnsi="Calibri" w:eastAsia="宋体" w:cs="Times New Roman"/>
    </w:rPr>
  </w:style>
  <w:style w:type="character" w:customStyle="1" w:styleId="14">
    <w:name w:val="正文文本缩进 2 Char"/>
    <w:basedOn w:val="10"/>
    <w:link w:val="5"/>
    <w:qFormat/>
    <w:uiPriority w:val="0"/>
    <w:rPr>
      <w:rFonts w:ascii="Times New Roman" w:hAnsi="Times New Roman" w:eastAsia="宋体" w:cs="Times New Roman"/>
      <w:szCs w:val="21"/>
    </w:rPr>
  </w:style>
  <w:style w:type="character" w:customStyle="1" w:styleId="15">
    <w:name w:val="页脚 Char"/>
    <w:basedOn w:val="10"/>
    <w:link w:val="6"/>
    <w:qFormat/>
    <w:uiPriority w:val="0"/>
    <w:rPr>
      <w:rFonts w:ascii="Times New Roman" w:hAnsi="Times New Roman" w:eastAsia="宋体" w:cs="Times New Roman"/>
      <w:sz w:val="18"/>
      <w:szCs w:val="18"/>
    </w:rPr>
  </w:style>
  <w:style w:type="character" w:customStyle="1" w:styleId="16">
    <w:name w:val="页眉 Char"/>
    <w:basedOn w:val="10"/>
    <w:link w:val="7"/>
    <w:semiHidden/>
    <w:qFormat/>
    <w:uiPriority w:val="99"/>
    <w:rPr>
      <w:rFonts w:ascii="Calibri" w:hAnsi="Calibri" w:eastAsia="宋体" w:cs="Times New Roman"/>
      <w:sz w:val="18"/>
      <w:szCs w:val="18"/>
    </w:rPr>
  </w:style>
  <w:style w:type="character" w:customStyle="1" w:styleId="17">
    <w:name w:val="纯文本 Char"/>
    <w:qFormat/>
    <w:uiPriority w:val="0"/>
    <w:rPr>
      <w:rFonts w:ascii="宋体" w:hAnsi="Courier New" w:eastAsia="宋体" w:cs="Times New Roman"/>
      <w:kern w:val="2"/>
      <w:sz w:val="21"/>
    </w:rPr>
  </w:style>
  <w:style w:type="paragraph" w:customStyle="1" w:styleId="18">
    <w:name w:val="文本正文"/>
    <w:basedOn w:val="1"/>
    <w:qFormat/>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qFormat/>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2026-02-12T01:22:00Z</dcterms:created>
  <dc:creator>李敏</dc:creator>
  <cp:lastModifiedBy>李敏</cp:lastModifiedBy>
  <dcterms:modified xsi:type="dcterms:W3CDTF">2026-02-12T05:32:16Z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