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bookmarkStart w:id="0" w:name="_GoBack"/>
      <w:r>
        <w:rPr>
          <w:rFonts w:ascii="Times New Roman" w:hAnsi="Times New Roman" w:eastAsia="仿宋_GB2312"/>
          <w:color w:val="000000"/>
          <w:sz w:val="32"/>
        </w:rPr>
        <w:t>昆生环复〔2026〕</w:t>
      </w:r>
      <w:r>
        <w:rPr>
          <w:rFonts w:hint="eastAsia" w:ascii="Times New Roman" w:hAnsi="Times New Roman" w:eastAsia="仿宋_GB2312"/>
          <w:color w:val="000000"/>
          <w:sz w:val="32"/>
        </w:rPr>
        <w:t>1</w:t>
      </w:r>
      <w:r>
        <w:rPr>
          <w:rFonts w:ascii="Times New Roman" w:hAnsi="Times New Roman" w:eastAsia="仿宋_GB2312"/>
          <w:color w:val="000000"/>
          <w:sz w:val="32"/>
        </w:rPr>
        <w:t>-</w:t>
      </w:r>
      <w:r>
        <w:rPr>
          <w:rFonts w:hint="eastAsia" w:ascii="Times New Roman" w:hAnsi="Times New Roman" w:eastAsia="仿宋_GB2312"/>
          <w:color w:val="000000"/>
          <w:sz w:val="32"/>
        </w:rPr>
        <w:t>12</w:t>
      </w:r>
      <w:r>
        <w:rPr>
          <w:rFonts w:ascii="Times New Roman" w:hAnsi="Times New Roman" w:eastAsia="仿宋_GB2312"/>
          <w:color w:val="000000"/>
          <w:sz w:val="32"/>
        </w:rPr>
        <w:t>号</w:t>
      </w:r>
    </w:p>
    <w:bookmarkEnd w:id="0"/>
    <w:p>
      <w:pPr>
        <w:jc w:val="center"/>
        <w:rPr>
          <w:rFonts w:ascii="Times New Roman" w:hAnsi="Times New Roman" w:eastAsia="仿宋_GB2312"/>
          <w:color w:val="000000"/>
          <w:sz w:val="32"/>
        </w:rPr>
      </w:pPr>
    </w:p>
    <w:p>
      <w:pPr>
        <w:rPr>
          <w:rFonts w:ascii="Times New Roman" w:hAnsi="Times New Roman"/>
          <w:sz w:val="32"/>
          <w:szCs w:val="32"/>
        </w:rPr>
      </w:pPr>
    </w:p>
    <w:p>
      <w:pPr>
        <w:autoSpaceDE w:val="0"/>
        <w:spacing w:line="520" w:lineRule="exact"/>
        <w:ind w:left="3080" w:hanging="3080" w:hangingChars="700"/>
        <w:jc w:val="center"/>
        <w:rPr>
          <w:rFonts w:ascii="Times New Roman" w:hAnsi="Times New Roman" w:eastAsia="方正小标宋简体"/>
          <w:sz w:val="44"/>
          <w:szCs w:val="44"/>
        </w:rPr>
      </w:pPr>
      <w:r>
        <w:rPr>
          <w:rFonts w:ascii="方正小标宋简体" w:hAnsi="方正小标宋简体" w:eastAsia="方正小标宋简体"/>
          <w:sz w:val="44"/>
          <w:szCs w:val="44"/>
        </w:rPr>
        <w:t>昆明市生态环境局关于《石林县第三污水</w:t>
      </w:r>
    </w:p>
    <w:p>
      <w:pPr>
        <w:autoSpaceDE w:val="0"/>
        <w:spacing w:line="520" w:lineRule="exact"/>
        <w:jc w:val="center"/>
        <w:rPr>
          <w:rFonts w:hint="eastAsia" w:ascii="方正小标宋简体" w:hAnsi="方正小标宋简体" w:eastAsia="方正小标宋简体"/>
          <w:sz w:val="44"/>
          <w:szCs w:val="44"/>
        </w:rPr>
      </w:pPr>
      <w:r>
        <w:rPr>
          <w:rFonts w:ascii="方正小标宋简体" w:hAnsi="方正小标宋简体" w:eastAsia="方正小标宋简体"/>
          <w:sz w:val="44"/>
          <w:szCs w:val="44"/>
        </w:rPr>
        <w:t>处理厂建设项目环境影响报告书》</w:t>
      </w:r>
    </w:p>
    <w:p>
      <w:pPr>
        <w:autoSpaceDE w:val="0"/>
        <w:spacing w:line="520" w:lineRule="exact"/>
        <w:jc w:val="center"/>
        <w:rPr>
          <w:rFonts w:ascii="Times New Roman" w:hAnsi="Times New Roman" w:eastAsia="方正小标宋简体"/>
          <w:sz w:val="44"/>
          <w:szCs w:val="44"/>
        </w:rPr>
      </w:pPr>
      <w:r>
        <w:rPr>
          <w:rFonts w:ascii="方正小标宋简体" w:hAnsi="方正小标宋简体" w:eastAsia="方正小标宋简体"/>
          <w:sz w:val="44"/>
          <w:szCs w:val="44"/>
        </w:rPr>
        <w:t>的批复</w:t>
      </w:r>
    </w:p>
    <w:p>
      <w:pPr>
        <w:autoSpaceDE w:val="0"/>
        <w:spacing w:line="520" w:lineRule="exact"/>
        <w:ind w:firstLine="480" w:firstLineChars="200"/>
        <w:jc w:val="left"/>
        <w:rPr>
          <w:rFonts w:ascii="Times New Roman" w:hAnsi="Times New Roman" w:eastAsia="仿宋_GB2312"/>
          <w:sz w:val="24"/>
          <w:szCs w:val="24"/>
        </w:rPr>
      </w:pPr>
    </w:p>
    <w:p>
      <w:pPr>
        <w:autoSpaceDE w:val="0"/>
        <w:spacing w:line="520" w:lineRule="exact"/>
        <w:rPr>
          <w:rFonts w:ascii="Times New Roman" w:hAnsi="Times New Roman" w:eastAsia="仿宋_GB2312"/>
          <w:sz w:val="32"/>
          <w:szCs w:val="32"/>
        </w:rPr>
      </w:pPr>
      <w:r>
        <w:rPr>
          <w:rFonts w:ascii="仿宋_GB2312" w:hAnsi="Times New Roman" w:eastAsia="仿宋_GB2312"/>
          <w:sz w:val="32"/>
          <w:szCs w:val="32"/>
        </w:rPr>
        <w:t>云南石林产业园区管理委员会：</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你单位委托云南清蓝源环保科技有限公司编制的《石林县第三污水处理厂建设项目环境影响报告书》（以下简称《报告书》，项目代码：</w:t>
      </w:r>
      <w:r>
        <w:rPr>
          <w:rFonts w:ascii="Times New Roman" w:hAnsi="Times New Roman" w:eastAsia="仿宋_GB2312"/>
          <w:sz w:val="32"/>
          <w:szCs w:val="32"/>
        </w:rPr>
        <w:t>2405-530126-04-01-210301</w:t>
      </w:r>
      <w:r>
        <w:rPr>
          <w:rFonts w:ascii="仿宋_GB2312" w:hAnsi="Times New Roman" w:eastAsia="仿宋_GB2312"/>
          <w:sz w:val="32"/>
          <w:szCs w:val="32"/>
        </w:rPr>
        <w:t>）收悉。根据《中华人民共和国环境影响评价法》第二十二条、《建设项目环境保护管理条例》第九条，经研究，批复如下：</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一、项目建设地点位于</w:t>
      </w:r>
      <w:r>
        <w:rPr>
          <w:rFonts w:ascii="Times New Roman" w:hAnsi="Times New Roman" w:eastAsia="仿宋_GB2312"/>
          <w:sz w:val="32"/>
          <w:szCs w:val="32"/>
        </w:rPr>
        <w:t>G326</w:t>
      </w:r>
      <w:r>
        <w:rPr>
          <w:rFonts w:ascii="仿宋_GB2312" w:hAnsi="Times New Roman" w:eastAsia="仿宋_GB2312"/>
          <w:sz w:val="32"/>
          <w:szCs w:val="32"/>
        </w:rPr>
        <w:t>与巴江交汇点西北片区，北虎山加油站西侧。项目占地</w:t>
      </w:r>
      <w:r>
        <w:rPr>
          <w:rFonts w:ascii="Times New Roman" w:hAnsi="Times New Roman" w:eastAsia="仿宋_GB2312"/>
          <w:sz w:val="32"/>
          <w:szCs w:val="32"/>
        </w:rPr>
        <w:t>23555.5m</w:t>
      </w:r>
      <w:r>
        <w:rPr>
          <w:rFonts w:ascii="Times New Roman" w:hAnsi="Times New Roman" w:eastAsia="仿宋_GB2312"/>
          <w:sz w:val="32"/>
          <w:szCs w:val="32"/>
          <w:vertAlign w:val="superscript"/>
        </w:rPr>
        <w:t>2</w:t>
      </w:r>
      <w:r>
        <w:rPr>
          <w:rFonts w:ascii="仿宋_GB2312" w:hAnsi="Times New Roman" w:eastAsia="仿宋_GB2312"/>
          <w:sz w:val="32"/>
          <w:szCs w:val="32"/>
        </w:rPr>
        <w:t>，主要建设处理规模</w:t>
      </w:r>
      <w:r>
        <w:rPr>
          <w:rFonts w:ascii="Times New Roman" w:hAnsi="Times New Roman" w:eastAsia="仿宋_GB2312"/>
          <w:sz w:val="32"/>
          <w:szCs w:val="32"/>
        </w:rPr>
        <w:t>8000m</w:t>
      </w:r>
      <w:r>
        <w:rPr>
          <w:rFonts w:ascii="Times New Roman" w:hAnsi="Times New Roman" w:eastAsia="仿宋_GB2312"/>
          <w:sz w:val="32"/>
          <w:szCs w:val="32"/>
          <w:vertAlign w:val="superscript"/>
        </w:rPr>
        <w:t>3</w:t>
      </w:r>
      <w:r>
        <w:rPr>
          <w:rFonts w:ascii="Times New Roman" w:hAnsi="Times New Roman" w:eastAsia="仿宋_GB2312"/>
          <w:sz w:val="32"/>
          <w:szCs w:val="32"/>
        </w:rPr>
        <w:t>/d</w:t>
      </w:r>
      <w:r>
        <w:rPr>
          <w:rFonts w:ascii="仿宋_GB2312" w:hAnsi="Times New Roman" w:eastAsia="仿宋_GB2312"/>
          <w:sz w:val="32"/>
          <w:szCs w:val="32"/>
        </w:rPr>
        <w:t>的污水处理厂一座、进水提升泵站及配套管网工程、尾水外排管网工程、厂内回用水系统、厂外回用水管网工程，共分为三期实施。其中，一期建设内容为：实施</w:t>
      </w:r>
      <w:r>
        <w:rPr>
          <w:rFonts w:ascii="Times New Roman" w:hAnsi="Times New Roman" w:eastAsia="仿宋_GB2312"/>
          <w:sz w:val="32"/>
          <w:szCs w:val="32"/>
        </w:rPr>
        <w:t>4000m</w:t>
      </w:r>
      <w:r>
        <w:rPr>
          <w:rFonts w:ascii="Times New Roman" w:hAnsi="Times New Roman" w:eastAsia="仿宋_GB2312"/>
          <w:sz w:val="32"/>
          <w:szCs w:val="32"/>
          <w:vertAlign w:val="superscript"/>
        </w:rPr>
        <w:t>3</w:t>
      </w:r>
      <w:r>
        <w:rPr>
          <w:rFonts w:ascii="Times New Roman" w:hAnsi="Times New Roman" w:eastAsia="仿宋_GB2312"/>
          <w:sz w:val="32"/>
          <w:szCs w:val="32"/>
        </w:rPr>
        <w:t>/d</w:t>
      </w:r>
      <w:r>
        <w:rPr>
          <w:rFonts w:ascii="仿宋_GB2312" w:hAnsi="Times New Roman" w:eastAsia="仿宋_GB2312"/>
          <w:sz w:val="32"/>
          <w:szCs w:val="32"/>
        </w:rPr>
        <w:t>处理规模，设备除共用部分外按</w:t>
      </w:r>
      <w:r>
        <w:rPr>
          <w:rFonts w:ascii="Times New Roman" w:hAnsi="Times New Roman" w:eastAsia="仿宋_GB2312"/>
          <w:sz w:val="32"/>
          <w:szCs w:val="32"/>
        </w:rPr>
        <w:t>4000m</w:t>
      </w:r>
      <w:r>
        <w:rPr>
          <w:rFonts w:ascii="Times New Roman" w:hAnsi="Times New Roman" w:eastAsia="仿宋_GB2312"/>
          <w:sz w:val="32"/>
          <w:szCs w:val="32"/>
          <w:vertAlign w:val="superscript"/>
        </w:rPr>
        <w:t>3</w:t>
      </w:r>
      <w:r>
        <w:rPr>
          <w:rFonts w:ascii="Times New Roman" w:hAnsi="Times New Roman" w:eastAsia="仿宋_GB2312"/>
          <w:sz w:val="32"/>
          <w:szCs w:val="32"/>
        </w:rPr>
        <w:t>/d</w:t>
      </w:r>
      <w:r>
        <w:rPr>
          <w:rFonts w:ascii="仿宋_GB2312" w:hAnsi="Times New Roman" w:eastAsia="仿宋_GB2312"/>
          <w:sz w:val="32"/>
          <w:szCs w:val="32"/>
        </w:rPr>
        <w:t>规模进行安装，进水提升泵站及配套管网工程、尾水外排管网工程；二期建设内容为：新增</w:t>
      </w:r>
      <w:r>
        <w:rPr>
          <w:rFonts w:ascii="Times New Roman" w:hAnsi="Times New Roman" w:eastAsia="仿宋_GB2312"/>
          <w:sz w:val="32"/>
          <w:szCs w:val="32"/>
        </w:rPr>
        <w:t>4000m</w:t>
      </w:r>
      <w:r>
        <w:rPr>
          <w:rFonts w:ascii="Times New Roman" w:hAnsi="Times New Roman" w:eastAsia="仿宋_GB2312"/>
          <w:sz w:val="32"/>
          <w:szCs w:val="32"/>
          <w:vertAlign w:val="superscript"/>
        </w:rPr>
        <w:t>3</w:t>
      </w:r>
      <w:r>
        <w:rPr>
          <w:rFonts w:ascii="Times New Roman" w:hAnsi="Times New Roman" w:eastAsia="仿宋_GB2312"/>
          <w:sz w:val="32"/>
          <w:szCs w:val="32"/>
        </w:rPr>
        <w:t>/d</w:t>
      </w:r>
      <w:r>
        <w:rPr>
          <w:rFonts w:ascii="仿宋_GB2312" w:hAnsi="Times New Roman" w:eastAsia="仿宋_GB2312"/>
          <w:sz w:val="32"/>
          <w:szCs w:val="32"/>
        </w:rPr>
        <w:t>处理规模的非共用设备安装、厂内回用水系统建设；</w:t>
      </w:r>
      <w:r>
        <w:rPr>
          <w:rFonts w:hint="eastAsia" w:ascii="仿宋_GB2312" w:hAnsi="Times New Roman" w:eastAsia="仿宋_GB2312"/>
          <w:sz w:val="32"/>
          <w:szCs w:val="32"/>
        </w:rPr>
        <w:t>三期主要建设厂外回用水管网工程。</w:t>
      </w:r>
      <w:r>
        <w:rPr>
          <w:rFonts w:ascii="仿宋_GB2312" w:hAnsi="Times New Roman" w:eastAsia="仿宋_GB2312"/>
          <w:sz w:val="32"/>
          <w:szCs w:val="32"/>
        </w:rPr>
        <w:t>本项目仅针对一期和二期进行评价。</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项目总投资</w:t>
      </w:r>
      <w:r>
        <w:rPr>
          <w:rFonts w:ascii="Times New Roman" w:hAnsi="Times New Roman" w:eastAsia="仿宋_GB2312"/>
          <w:sz w:val="32"/>
          <w:szCs w:val="32"/>
        </w:rPr>
        <w:t>11450.02</w:t>
      </w:r>
      <w:r>
        <w:rPr>
          <w:rFonts w:ascii="仿宋_GB2312" w:hAnsi="Times New Roman" w:eastAsia="仿宋_GB2312"/>
          <w:sz w:val="32"/>
          <w:szCs w:val="32"/>
        </w:rPr>
        <w:t>万元</w:t>
      </w:r>
      <w:r>
        <w:rPr>
          <w:rFonts w:hint="eastAsia" w:ascii="仿宋_GB2312" w:hAnsi="Times New Roman" w:eastAsia="仿宋_GB2312"/>
          <w:sz w:val="32"/>
          <w:szCs w:val="32"/>
        </w:rPr>
        <w:t>（一期和二期投资为</w:t>
      </w:r>
      <w:r>
        <w:rPr>
          <w:rFonts w:hint="eastAsia" w:ascii="Times New Roman" w:hAnsi="Times New Roman" w:eastAsia="仿宋_GB2312"/>
          <w:sz w:val="32"/>
          <w:szCs w:val="32"/>
        </w:rPr>
        <w:t>10235</w:t>
      </w:r>
      <w:r>
        <w:rPr>
          <w:rFonts w:hint="eastAsia" w:ascii="仿宋_GB2312" w:hAnsi="Times New Roman" w:eastAsia="仿宋_GB2312"/>
          <w:sz w:val="32"/>
          <w:szCs w:val="32"/>
        </w:rPr>
        <w:t>万元），</w:t>
      </w:r>
      <w:r>
        <w:rPr>
          <w:rFonts w:ascii="仿宋_GB2312" w:hAnsi="Times New Roman" w:eastAsia="仿宋_GB2312"/>
          <w:sz w:val="32"/>
          <w:szCs w:val="32"/>
        </w:rPr>
        <w:t>其中环保投资</w:t>
      </w:r>
      <w:r>
        <w:rPr>
          <w:rFonts w:ascii="Times New Roman" w:hAnsi="Times New Roman" w:eastAsia="仿宋_GB2312"/>
          <w:sz w:val="32"/>
          <w:szCs w:val="32"/>
        </w:rPr>
        <w:t>303.41</w:t>
      </w:r>
      <w:r>
        <w:rPr>
          <w:rFonts w:ascii="仿宋_GB2312" w:hAnsi="Times New Roman" w:eastAsia="仿宋_GB2312"/>
          <w:sz w:val="32"/>
          <w:szCs w:val="32"/>
        </w:rPr>
        <w:t>万元。</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根据昆明市生态环境工程评估中心出具的《关于对〈石林县第三污水处理厂建设项目环境影响报告书〉的技术评估意见》（昆环评估意见〔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1-13</w:t>
      </w:r>
      <w:r>
        <w:rPr>
          <w:rFonts w:ascii="仿宋_GB2312" w:hAnsi="Times New Roman" w:eastAsia="仿宋_GB2312"/>
          <w:sz w:val="32"/>
          <w:szCs w:val="32"/>
        </w:rPr>
        <w:t>号），在全面落实《报告书》提出的各项生态保护和污染防治措施后，项目建设和运营的不良环境影响可以得到缓解和控制，同意项目按《报告书》所述工程内容、规模、功能、环保对策措施进行建设。</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二、项目建设及运营期重点做好以下工作：</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运营期产生的化验室废水、生活污水、冲洗废水、污泥滤液等废水统一进入项目污水处理系统与其他废水一并处理。尾水经处理达到《城镇污水处理厂主要水污染物排放限值》（</w:t>
      </w:r>
      <w:r>
        <w:rPr>
          <w:rFonts w:ascii="Times New Roman" w:hAnsi="Times New Roman" w:eastAsia="仿宋_GB2312"/>
          <w:sz w:val="32"/>
          <w:szCs w:val="32"/>
        </w:rPr>
        <w:t>DB5301/T43-2020</w:t>
      </w:r>
      <w:r>
        <w:rPr>
          <w:rFonts w:ascii="仿宋_GB2312" w:hAnsi="Times New Roman" w:eastAsia="仿宋_GB2312"/>
          <w:sz w:val="32"/>
          <w:szCs w:val="32"/>
        </w:rPr>
        <w:t>）</w:t>
      </w:r>
      <w:r>
        <w:rPr>
          <w:rFonts w:ascii="Times New Roman" w:hAnsi="Times New Roman" w:eastAsia="仿宋_GB2312"/>
          <w:sz w:val="32"/>
          <w:szCs w:val="32"/>
        </w:rPr>
        <w:t>D</w:t>
      </w:r>
      <w:r>
        <w:rPr>
          <w:rFonts w:ascii="仿宋_GB2312" w:hAnsi="Times New Roman" w:eastAsia="仿宋_GB2312"/>
          <w:sz w:val="32"/>
          <w:szCs w:val="32"/>
        </w:rPr>
        <w:t>级、《城镇污水处理厂污染物排放标准》（</w:t>
      </w:r>
      <w:r>
        <w:rPr>
          <w:rFonts w:ascii="Times New Roman" w:hAnsi="Times New Roman" w:eastAsia="仿宋_GB2312"/>
          <w:sz w:val="32"/>
          <w:szCs w:val="32"/>
        </w:rPr>
        <w:t>GB18918-2002</w:t>
      </w:r>
      <w:r>
        <w:rPr>
          <w:rFonts w:ascii="仿宋_GB2312" w:hAnsi="Times New Roman" w:eastAsia="仿宋_GB2312"/>
          <w:sz w:val="32"/>
          <w:szCs w:val="32"/>
        </w:rPr>
        <w:t>）</w:t>
      </w:r>
      <w:r>
        <w:rPr>
          <w:rFonts w:hint="eastAsia" w:ascii="仿宋_GB2312" w:hAnsi="Times New Roman" w:eastAsia="仿宋_GB2312"/>
          <w:sz w:val="32"/>
          <w:szCs w:val="32"/>
        </w:rPr>
        <w:t>及其</w:t>
      </w:r>
      <w:r>
        <w:rPr>
          <w:rFonts w:ascii="仿宋_GB2312" w:hAnsi="Times New Roman" w:eastAsia="仿宋_GB2312"/>
          <w:sz w:val="32"/>
          <w:szCs w:val="32"/>
        </w:rPr>
        <w:t>修改单一级</w:t>
      </w:r>
      <w:r>
        <w:rPr>
          <w:rFonts w:ascii="Times New Roman" w:hAnsi="Times New Roman" w:eastAsia="仿宋_GB2312"/>
          <w:sz w:val="32"/>
          <w:szCs w:val="32"/>
        </w:rPr>
        <w:t>A</w:t>
      </w:r>
      <w:r>
        <w:rPr>
          <w:rFonts w:ascii="仿宋_GB2312" w:hAnsi="Times New Roman" w:eastAsia="仿宋_GB2312"/>
          <w:sz w:val="32"/>
          <w:szCs w:val="32"/>
        </w:rPr>
        <w:t>标准、《污水综合排放标准》（</w:t>
      </w:r>
      <w:r>
        <w:rPr>
          <w:rFonts w:ascii="Times New Roman" w:hAnsi="Times New Roman" w:eastAsia="仿宋_GB2312"/>
          <w:sz w:val="32"/>
          <w:szCs w:val="32"/>
        </w:rPr>
        <w:t>GB8978-1996</w:t>
      </w:r>
      <w:r>
        <w:rPr>
          <w:rFonts w:ascii="仿宋_GB2312" w:hAnsi="Times New Roman" w:eastAsia="仿宋_GB2312"/>
          <w:sz w:val="32"/>
          <w:szCs w:val="32"/>
        </w:rPr>
        <w:t>）一级标准、《城市污水再生利用城市杂用水水质》（</w:t>
      </w:r>
      <w:r>
        <w:rPr>
          <w:rFonts w:ascii="Times New Roman" w:hAnsi="Times New Roman" w:eastAsia="仿宋_GB2312"/>
          <w:sz w:val="32"/>
          <w:szCs w:val="32"/>
        </w:rPr>
        <w:t>GB/T18920-2020</w:t>
      </w:r>
      <w:r>
        <w:rPr>
          <w:rFonts w:ascii="仿宋_GB2312" w:hAnsi="Times New Roman" w:eastAsia="仿宋_GB2312"/>
          <w:sz w:val="32"/>
          <w:szCs w:val="32"/>
        </w:rPr>
        <w:t>）中的较严标准值（</w:t>
      </w:r>
      <w:r>
        <w:rPr>
          <w:rFonts w:hint="eastAsia" w:ascii="仿宋_GB2312" w:hAnsi="Times New Roman" w:eastAsia="仿宋_GB2312"/>
          <w:sz w:val="32"/>
          <w:szCs w:val="32"/>
        </w:rPr>
        <w:t>其中总磷参照《地表水环境质量标准》（</w:t>
      </w:r>
      <w:r>
        <w:rPr>
          <w:rFonts w:hint="eastAsia" w:ascii="Times New Roman" w:hAnsi="Times New Roman" w:eastAsia="仿宋_GB2312"/>
          <w:sz w:val="32"/>
          <w:szCs w:val="32"/>
        </w:rPr>
        <w:t>GB3838-2002</w:t>
      </w:r>
      <w:r>
        <w:rPr>
          <w:rFonts w:hint="eastAsia" w:ascii="仿宋_GB2312" w:hAnsi="Times New Roman" w:eastAsia="仿宋_GB2312"/>
          <w:sz w:val="32"/>
          <w:szCs w:val="32"/>
        </w:rPr>
        <w:t>）Ⅲ类标准执行，</w:t>
      </w:r>
      <w:r>
        <w:rPr>
          <w:rFonts w:ascii="仿宋_GB2312" w:hAnsi="Times New Roman" w:eastAsia="仿宋_GB2312"/>
          <w:sz w:val="32"/>
          <w:szCs w:val="32"/>
        </w:rPr>
        <w:t>急性毒性（</w:t>
      </w:r>
      <w:r>
        <w:rPr>
          <w:rFonts w:ascii="Times New Roman" w:hAnsi="Times New Roman" w:eastAsia="仿宋_GB2312"/>
          <w:sz w:val="32"/>
          <w:szCs w:val="32"/>
        </w:rPr>
        <w:t>HgCl</w:t>
      </w:r>
      <w:r>
        <w:rPr>
          <w:rFonts w:ascii="Times New Roman" w:hAnsi="Times New Roman" w:eastAsia="仿宋_GB2312"/>
          <w:sz w:val="32"/>
          <w:szCs w:val="32"/>
          <w:vertAlign w:val="subscript"/>
        </w:rPr>
        <w:t>2</w:t>
      </w:r>
      <w:r>
        <w:rPr>
          <w:rFonts w:ascii="仿宋_GB2312" w:hAnsi="Times New Roman" w:eastAsia="仿宋_GB2312"/>
          <w:sz w:val="32"/>
          <w:szCs w:val="32"/>
        </w:rPr>
        <w:t>毒性当量）参照进水水质执行后，一期尾水全部排入巴江；二期建成后枯水期再生利用的采用次氯酸钠进一步消毒处理后采用洒水车运至产业园区回用于园区绿化和道路浇洒用水，其余尾水外排至巴江；丰水期和平水期尾水全部排入巴江。</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施工期施工现场设置临时沉淀池，施工废水经沉淀处理后回用于施工作业。施工场地周边设置临时截排水沟和沉砂池，雨季地表径流经沉淀池处理后回用于施工场地洒水降尘，回用不完部分排至周边沟渠。</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项目共设置一根排气筒，排气筒高度不低于</w:t>
      </w:r>
      <w:r>
        <w:rPr>
          <w:rFonts w:ascii="Times New Roman" w:hAnsi="Times New Roman" w:eastAsia="仿宋_GB2312"/>
          <w:sz w:val="32"/>
          <w:szCs w:val="32"/>
        </w:rPr>
        <w:t>15m</w:t>
      </w:r>
      <w:r>
        <w:rPr>
          <w:rFonts w:ascii="仿宋_GB2312" w:hAnsi="Times New Roman" w:eastAsia="仿宋_GB2312"/>
          <w:sz w:val="32"/>
          <w:szCs w:val="32"/>
        </w:rPr>
        <w:t>。</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运营期</w:t>
      </w:r>
      <w:r>
        <w:rPr>
          <w:rFonts w:hint="eastAsia" w:ascii="仿宋_GB2312" w:hAnsi="Times New Roman" w:eastAsia="仿宋_GB2312"/>
          <w:sz w:val="32"/>
          <w:szCs w:val="32"/>
        </w:rPr>
        <w:t>产生</w:t>
      </w:r>
      <w:r>
        <w:rPr>
          <w:rFonts w:ascii="仿宋_GB2312" w:hAnsi="Times New Roman" w:eastAsia="仿宋_GB2312"/>
          <w:sz w:val="32"/>
          <w:szCs w:val="32"/>
        </w:rPr>
        <w:t>的氨、硫化氢、臭气浓度执行《恶臭污染物排放标准》（</w:t>
      </w:r>
      <w:r>
        <w:rPr>
          <w:rFonts w:ascii="Times New Roman" w:hAnsi="Times New Roman" w:eastAsia="仿宋_GB2312"/>
          <w:sz w:val="32"/>
          <w:szCs w:val="32"/>
        </w:rPr>
        <w:t>GB14554-93</w:t>
      </w:r>
      <w:r>
        <w:rPr>
          <w:rFonts w:ascii="仿宋_GB2312" w:hAnsi="Times New Roman" w:eastAsia="仿宋_GB2312"/>
          <w:sz w:val="32"/>
          <w:szCs w:val="32"/>
        </w:rPr>
        <w:t>）中表</w:t>
      </w:r>
      <w:r>
        <w:rPr>
          <w:rFonts w:ascii="Times New Roman" w:hAnsi="Times New Roman" w:eastAsia="仿宋_GB2312"/>
          <w:sz w:val="32"/>
          <w:szCs w:val="32"/>
        </w:rPr>
        <w:t>2</w:t>
      </w:r>
      <w:r>
        <w:rPr>
          <w:rFonts w:ascii="仿宋_GB2312" w:hAnsi="Times New Roman" w:eastAsia="仿宋_GB2312"/>
          <w:sz w:val="32"/>
          <w:szCs w:val="32"/>
        </w:rPr>
        <w:t>标准值</w:t>
      </w:r>
      <w:r>
        <w:rPr>
          <w:rFonts w:hint="eastAsia" w:ascii="仿宋_GB2312" w:hAnsi="Times New Roman" w:eastAsia="仿宋_GB2312"/>
          <w:sz w:val="32"/>
          <w:szCs w:val="32"/>
        </w:rPr>
        <w:t>。</w:t>
      </w:r>
    </w:p>
    <w:p>
      <w:pPr>
        <w:autoSpaceDE w:val="0"/>
        <w:spacing w:line="52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项目食堂油烟废气排放执行《饮食业油烟排放标准（试行）》（</w:t>
      </w:r>
      <w:r>
        <w:rPr>
          <w:rFonts w:ascii="Times New Roman" w:hAnsi="Times New Roman" w:eastAsia="仿宋_GB2312"/>
          <w:sz w:val="32"/>
          <w:szCs w:val="32"/>
        </w:rPr>
        <w:t>GB18483-2001</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中的小型规模排放标准限值</w:t>
      </w:r>
      <w:r>
        <w:rPr>
          <w:rFonts w:hint="eastAsia" w:ascii="仿宋_GB2312" w:hAnsi="Times New Roman" w:eastAsia="仿宋_GB2312"/>
          <w:sz w:val="32"/>
          <w:szCs w:val="32"/>
        </w:rPr>
        <w:t>。</w:t>
      </w:r>
    </w:p>
    <w:p>
      <w:pPr>
        <w:autoSpaceDE w:val="0"/>
        <w:spacing w:line="52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项目无组织废气排放执行《城镇污水处理厂污染物排放标准》（</w:t>
      </w:r>
      <w:r>
        <w:rPr>
          <w:rFonts w:ascii="Times New Roman" w:hAnsi="Times New Roman" w:eastAsia="仿宋_GB2312"/>
          <w:sz w:val="32"/>
          <w:szCs w:val="32"/>
        </w:rPr>
        <w:t>GB18918-2002</w:t>
      </w:r>
      <w:r>
        <w:rPr>
          <w:rFonts w:ascii="仿宋_GB2312" w:hAnsi="Times New Roman" w:eastAsia="仿宋_GB2312"/>
          <w:sz w:val="32"/>
          <w:szCs w:val="32"/>
        </w:rPr>
        <w:t>）</w:t>
      </w:r>
      <w:r>
        <w:rPr>
          <w:rFonts w:hint="eastAsia" w:ascii="仿宋_GB2312" w:hAnsi="Times New Roman" w:eastAsia="仿宋_GB2312"/>
          <w:sz w:val="32"/>
          <w:szCs w:val="32"/>
        </w:rPr>
        <w:t>及其</w:t>
      </w:r>
      <w:r>
        <w:rPr>
          <w:rFonts w:ascii="仿宋_GB2312" w:hAnsi="Times New Roman" w:eastAsia="仿宋_GB2312"/>
          <w:sz w:val="32"/>
          <w:szCs w:val="32"/>
        </w:rPr>
        <w:t>修改单中二级标准。</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施工期施工厂界设置围挡，定期洒水降尘，设置车轮清洗池等措施抑制扬尘的产生</w:t>
      </w:r>
      <w:r>
        <w:rPr>
          <w:rFonts w:hint="eastAsia" w:ascii="仿宋_GB2312" w:hAnsi="Times New Roman" w:eastAsia="仿宋_GB2312"/>
          <w:sz w:val="32"/>
          <w:szCs w:val="32"/>
        </w:rPr>
        <w:t>，</w:t>
      </w:r>
      <w:r>
        <w:rPr>
          <w:rFonts w:ascii="仿宋_GB2312" w:hAnsi="Times New Roman" w:eastAsia="仿宋_GB2312"/>
          <w:sz w:val="32"/>
          <w:szCs w:val="32"/>
        </w:rPr>
        <w:t>施工扬尘执行《大气污染物综合排放标准》（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）中的无组织排放监控浓度限值标准。</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运营期产噪设备采取隔声、减振、消声、置于室内等措施，以最大限度地降低噪声源强，确保厂界噪声达标排放。厂界东侧和泵站四周厂界噪声执行《工业企业厂界环境噪声排放标准》（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w:t>
      </w:r>
      <w:r>
        <w:rPr>
          <w:rFonts w:ascii="Times New Roman" w:hAnsi="Times New Roman" w:eastAsia="仿宋_GB2312"/>
          <w:sz w:val="32"/>
          <w:szCs w:val="32"/>
        </w:rPr>
        <w:t>4</w:t>
      </w:r>
      <w:r>
        <w:rPr>
          <w:rFonts w:ascii="仿宋_GB2312" w:hAnsi="Times New Roman" w:eastAsia="仿宋_GB2312"/>
          <w:sz w:val="32"/>
          <w:szCs w:val="32"/>
        </w:rPr>
        <w:t>类标准，厂</w:t>
      </w:r>
      <w:r>
        <w:rPr>
          <w:rFonts w:hint="eastAsia" w:ascii="仿宋_GB2312" w:hAnsi="Times New Roman" w:eastAsia="仿宋_GB2312"/>
          <w:sz w:val="32"/>
          <w:szCs w:val="32"/>
        </w:rPr>
        <w:t>界</w:t>
      </w:r>
      <w:r>
        <w:rPr>
          <w:rFonts w:ascii="仿宋_GB2312" w:hAnsi="Times New Roman" w:eastAsia="仿宋_GB2312"/>
          <w:sz w:val="32"/>
          <w:szCs w:val="32"/>
        </w:rPr>
        <w:t>南侧、西侧、北侧执行《工业企业厂界环境噪声排放标准》（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w:t>
      </w:r>
      <w:r>
        <w:rPr>
          <w:rFonts w:ascii="Times New Roman" w:hAnsi="Times New Roman" w:eastAsia="仿宋_GB2312"/>
          <w:sz w:val="32"/>
          <w:szCs w:val="32"/>
        </w:rPr>
        <w:t>2</w:t>
      </w:r>
      <w:r>
        <w:rPr>
          <w:rFonts w:ascii="仿宋_GB2312" w:hAnsi="Times New Roman" w:eastAsia="仿宋_GB2312"/>
          <w:sz w:val="32"/>
          <w:szCs w:val="32"/>
        </w:rPr>
        <w:t>类标准</w:t>
      </w:r>
      <w:r>
        <w:rPr>
          <w:rFonts w:hint="eastAsia" w:ascii="仿宋_GB2312" w:hAnsi="Times New Roman" w:eastAsia="仿宋_GB2312"/>
          <w:sz w:val="32"/>
          <w:szCs w:val="32"/>
        </w:rPr>
        <w:t>。</w:t>
      </w:r>
    </w:p>
    <w:p>
      <w:pPr>
        <w:autoSpaceDE w:val="0"/>
        <w:spacing w:line="52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施工期</w:t>
      </w:r>
      <w:r>
        <w:rPr>
          <w:rFonts w:ascii="仿宋_GB2312" w:hAnsi="Times New Roman" w:eastAsia="仿宋_GB2312"/>
          <w:sz w:val="32"/>
          <w:szCs w:val="32"/>
        </w:rPr>
        <w:t>合理安排施工时间，夜间不施工；加强设备维护；合理规划运输时间、路线；控制运输车辆车速。施工场界噪声执行《建筑施工噪声排放标准》（</w:t>
      </w:r>
      <w:r>
        <w:rPr>
          <w:rFonts w:ascii="Times New Roman" w:hAnsi="Times New Roman" w:eastAsia="仿宋_GB2312"/>
          <w:sz w:val="32"/>
          <w:szCs w:val="32"/>
        </w:rPr>
        <w:t>GB12523-2025</w:t>
      </w:r>
      <w:r>
        <w:rPr>
          <w:rFonts w:ascii="仿宋_GB2312" w:hAnsi="Times New Roman" w:eastAsia="仿宋_GB2312"/>
          <w:sz w:val="32"/>
          <w:szCs w:val="32"/>
        </w:rPr>
        <w:t>）限值要求。</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运营期生活垃圾、化粪池污泥委托环卫部门清运处置；餐厨垃圾、隔油池油污收集后委托有资质单位清运处置；废生物滤料、废离子交换树脂膜更换时由厂家带走处置；废包装物收集后外售废品收购站。格栅渣、污泥、沉砂池沉渣、纤维转盘滤池废滤布在项目运行后进行固废属性鉴别，</w:t>
      </w:r>
      <w:r>
        <w:rPr>
          <w:rFonts w:hint="eastAsia" w:ascii="仿宋_GB2312" w:hAnsi="Times New Roman" w:eastAsia="仿宋_GB2312"/>
          <w:sz w:val="32"/>
          <w:szCs w:val="32"/>
        </w:rPr>
        <w:t>若属于危废，委托有资质单位清运处置；若属于一般固废，交由有能力的处置单位进行处置；</w:t>
      </w:r>
      <w:r>
        <w:rPr>
          <w:rFonts w:ascii="仿宋_GB2312" w:hAnsi="Times New Roman" w:eastAsia="仿宋_GB2312"/>
          <w:sz w:val="32"/>
          <w:szCs w:val="32"/>
        </w:rPr>
        <w:t>危险废物严格执行《危险废物贮存污染控制标准》（</w:t>
      </w:r>
      <w:r>
        <w:rPr>
          <w:rFonts w:ascii="Times New Roman" w:hAnsi="Times New Roman" w:eastAsia="仿宋_GB2312"/>
          <w:sz w:val="32"/>
          <w:szCs w:val="32"/>
        </w:rPr>
        <w:t>GB18597-2023</w:t>
      </w:r>
      <w:r>
        <w:rPr>
          <w:rFonts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ascii="仿宋_GB2312" w:hAnsi="Times New Roman" w:eastAsia="仿宋_GB2312"/>
          <w:sz w:val="32"/>
          <w:szCs w:val="32"/>
        </w:rPr>
        <w:t>），并委托有资质单位清运处置。</w:t>
      </w:r>
    </w:p>
    <w:p>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施工期对建筑垃圾进行分类堆存、回收利用，不能回用的清运至指定地点处置；废弃土石方外运到石林县大屯彩砖厂进行综合利用；施工人员产生的生活垃圾集中收集后委托环卫部门清运处置。</w:t>
      </w:r>
    </w:p>
    <w:p>
      <w:pPr>
        <w:autoSpaceDE w:val="0"/>
        <w:spacing w:line="520" w:lineRule="exact"/>
        <w:ind w:firstLine="640" w:firstLineChars="200"/>
        <w:rPr>
          <w:rFonts w:ascii="Times New Roman" w:hAnsi="Times New Roman" w:eastAsia="仿宋_GB2312"/>
          <w:spacing w:val="-6"/>
          <w:sz w:val="32"/>
          <w:szCs w:val="32"/>
        </w:rPr>
      </w:pPr>
      <w:r>
        <w:rPr>
          <w:rFonts w:ascii="仿宋_GB2312" w:hAnsi="Times New Roman" w:eastAsia="仿宋_GB2312"/>
          <w:sz w:val="32"/>
          <w:szCs w:val="32"/>
        </w:rPr>
        <w:t>（五）加强地下水和土壤污染防治。严格落实地下水污染防治措施，采取分区防渗措施，预处理系统、生化处理系统、深度处理系统、紫外线消毒渠、污泥池、事故池、危废暂存库为重点防渗区。同时，设置</w:t>
      </w:r>
      <w:r>
        <w:rPr>
          <w:rFonts w:ascii="Times New Roman" w:hAnsi="Times New Roman" w:eastAsia="仿宋_GB2312"/>
          <w:sz w:val="32"/>
          <w:szCs w:val="32"/>
        </w:rPr>
        <w:t>3</w:t>
      </w:r>
      <w:r>
        <w:rPr>
          <w:rFonts w:ascii="仿宋_GB2312" w:hAnsi="Times New Roman" w:eastAsia="仿宋_GB2312"/>
          <w:sz w:val="32"/>
          <w:szCs w:val="32"/>
        </w:rPr>
        <w:t>个地下水跟踪监测井，并制定跟踪监测计划。在污水处理厂下游</w:t>
      </w:r>
      <w:r>
        <w:rPr>
          <w:rFonts w:ascii="Times New Roman" w:hAnsi="Times New Roman" w:eastAsia="仿宋_GB2312"/>
          <w:sz w:val="32"/>
          <w:szCs w:val="32"/>
        </w:rPr>
        <w:t>20m</w:t>
      </w:r>
      <w:r>
        <w:rPr>
          <w:rFonts w:ascii="仿宋_GB2312" w:hAnsi="Times New Roman" w:eastAsia="仿宋_GB2312"/>
          <w:sz w:val="32"/>
          <w:szCs w:val="32"/>
        </w:rPr>
        <w:t>旱地设置</w:t>
      </w:r>
      <w:r>
        <w:rPr>
          <w:rFonts w:ascii="Times New Roman" w:hAnsi="Times New Roman" w:eastAsia="仿宋_GB2312"/>
          <w:sz w:val="32"/>
          <w:szCs w:val="32"/>
        </w:rPr>
        <w:t>1</w:t>
      </w:r>
      <w:r>
        <w:rPr>
          <w:rFonts w:ascii="仿宋_GB2312" w:hAnsi="Times New Roman" w:eastAsia="仿宋_GB2312"/>
          <w:sz w:val="32"/>
          <w:szCs w:val="32"/>
        </w:rPr>
        <w:t>个监测点，监控土壤环</w:t>
      </w:r>
      <w:r>
        <w:rPr>
          <w:rFonts w:ascii="仿宋_GB2312" w:hAnsi="Times New Roman" w:eastAsia="仿宋_GB2312"/>
          <w:spacing w:val="-6"/>
          <w:sz w:val="32"/>
          <w:szCs w:val="32"/>
        </w:rPr>
        <w:t>境受污染情况；加强设备管理，避免污水漫流溢出对土壤造成影响。</w:t>
      </w:r>
    </w:p>
    <w:p>
      <w:pPr>
        <w:suppressAutoHyphens/>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做好环境风险应急管理工作。严格执行《报告书》中风险影响评价中的各项防范措施，并建设相应风险防范设施，加强风险物质的贮存管理；制定突发环境事件应急预案并报市生态环境局石林分局备案，开展必要的应急培训、宣传和演练。</w:t>
      </w:r>
    </w:p>
    <w:p>
      <w:pPr>
        <w:suppressAutoHyphens/>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（七）污染物总量控制指标：</w:t>
      </w:r>
      <w:r>
        <w:rPr>
          <w:rFonts w:ascii="Times New Roman" w:hAnsi="Times New Roman" w:eastAsia="仿宋_GB2312"/>
          <w:sz w:val="32"/>
          <w:szCs w:val="32"/>
        </w:rPr>
        <w:t>COD</w:t>
      </w:r>
      <w:r>
        <w:rPr>
          <w:rFonts w:ascii="Times New Roman" w:hAnsi="Times New Roman" w:eastAsia="仿宋_GB2312"/>
          <w:sz w:val="32"/>
          <w:szCs w:val="32"/>
          <w:vertAlign w:val="subscript"/>
        </w:rPr>
        <w:t>Cr</w:t>
      </w:r>
      <w:r>
        <w:rPr>
          <w:rFonts w:ascii="Times New Roman" w:hAnsi="Times New Roman" w:eastAsia="仿宋_GB2312"/>
          <w:sz w:val="32"/>
          <w:szCs w:val="32"/>
        </w:rPr>
        <w:t>99.94t/a</w:t>
      </w:r>
      <w:r>
        <w:rPr>
          <w:rFonts w:ascii="仿宋_GB2312" w:hAnsi="Times New Roman" w:eastAsia="仿宋_GB2312"/>
          <w:sz w:val="32"/>
          <w:szCs w:val="32"/>
        </w:rPr>
        <w:t>、氨氮</w:t>
      </w:r>
      <w:r>
        <w:rPr>
          <w:rFonts w:ascii="Times New Roman" w:hAnsi="Times New Roman" w:eastAsia="仿宋_GB2312"/>
          <w:sz w:val="32"/>
          <w:szCs w:val="32"/>
        </w:rPr>
        <w:t>12.49t/a</w:t>
      </w:r>
      <w:r>
        <w:rPr>
          <w:rFonts w:ascii="仿宋_GB2312" w:hAnsi="Times New Roman" w:eastAsia="仿宋_GB2312"/>
          <w:sz w:val="32"/>
          <w:szCs w:val="32"/>
        </w:rPr>
        <w:t>、总磷</w:t>
      </w:r>
      <w:r>
        <w:rPr>
          <w:rFonts w:ascii="Times New Roman" w:hAnsi="Times New Roman" w:eastAsia="仿宋_GB2312"/>
          <w:sz w:val="32"/>
          <w:szCs w:val="32"/>
        </w:rPr>
        <w:t>0.5t/a</w:t>
      </w:r>
      <w:r>
        <w:rPr>
          <w:rFonts w:ascii="仿宋_GB2312" w:hAnsi="Times New Roman" w:eastAsia="仿宋_GB2312"/>
          <w:sz w:val="32"/>
          <w:szCs w:val="32"/>
        </w:rPr>
        <w:t>。</w:t>
      </w:r>
      <w:r>
        <w:rPr>
          <w:rFonts w:ascii="Times New Roman" w:hAnsi="Times New Roman" w:eastAsia="仿宋_GB2312"/>
          <w:sz w:val="32"/>
          <w:szCs w:val="32"/>
        </w:rPr>
        <w:t>COD</w:t>
      </w:r>
      <w:r>
        <w:rPr>
          <w:rFonts w:ascii="Times New Roman" w:hAnsi="Times New Roman" w:eastAsia="仿宋_GB2312"/>
          <w:sz w:val="32"/>
          <w:szCs w:val="32"/>
          <w:vertAlign w:val="subscript"/>
        </w:rPr>
        <w:t>Cr</w:t>
      </w:r>
      <w:r>
        <w:rPr>
          <w:rFonts w:hint="eastAsia" w:ascii="仿宋_GB2312" w:hAnsi="Times New Roman" w:eastAsia="仿宋_GB2312"/>
          <w:sz w:val="32"/>
          <w:szCs w:val="32"/>
        </w:rPr>
        <w:t>、</w:t>
      </w:r>
      <w:r>
        <w:rPr>
          <w:rFonts w:ascii="仿宋_GB2312" w:hAnsi="Times New Roman" w:eastAsia="仿宋_GB2312"/>
          <w:sz w:val="32"/>
          <w:szCs w:val="32"/>
        </w:rPr>
        <w:t>氨氮</w:t>
      </w:r>
      <w:r>
        <w:rPr>
          <w:rFonts w:hint="eastAsia" w:ascii="仿宋_GB2312" w:hAnsi="Times New Roman" w:eastAsia="仿宋_GB2312"/>
          <w:sz w:val="32"/>
          <w:szCs w:val="32"/>
        </w:rPr>
        <w:t>、</w:t>
      </w:r>
      <w:r>
        <w:rPr>
          <w:rFonts w:ascii="仿宋_GB2312" w:hAnsi="Times New Roman" w:eastAsia="仿宋_GB2312"/>
          <w:sz w:val="32"/>
          <w:szCs w:val="32"/>
        </w:rPr>
        <w:t>总磷总量控制指标来源</w:t>
      </w:r>
      <w:r>
        <w:rPr>
          <w:rFonts w:hint="eastAsia" w:ascii="仿宋_GB2312" w:hAnsi="Times New Roman" w:eastAsia="仿宋_GB2312"/>
          <w:sz w:val="32"/>
          <w:szCs w:val="32"/>
        </w:rPr>
        <w:t>于</w:t>
      </w:r>
      <w:r>
        <w:rPr>
          <w:rFonts w:ascii="仿宋_GB2312" w:hAnsi="Times New Roman" w:eastAsia="仿宋_GB2312"/>
          <w:sz w:val="32"/>
          <w:szCs w:val="32"/>
        </w:rPr>
        <w:t>石林县第</w:t>
      </w:r>
      <w:r>
        <w:rPr>
          <w:rFonts w:hint="eastAsia" w:ascii="仿宋_GB2312" w:hAnsi="Times New Roman" w:eastAsia="仿宋_GB2312"/>
          <w:sz w:val="32"/>
          <w:szCs w:val="32"/>
        </w:rPr>
        <w:t>二</w:t>
      </w:r>
      <w:r>
        <w:rPr>
          <w:rFonts w:ascii="仿宋_GB2312" w:hAnsi="Times New Roman" w:eastAsia="仿宋_GB2312"/>
          <w:sz w:val="32"/>
          <w:szCs w:val="32"/>
        </w:rPr>
        <w:t>污水处理厂的削减量。</w:t>
      </w:r>
    </w:p>
    <w:p>
      <w:pPr>
        <w:suppressAutoHyphens/>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（八）</w:t>
      </w:r>
      <w:r>
        <w:rPr>
          <w:rFonts w:ascii="仿宋_GB2312" w:hAnsi="Times New Roman" w:eastAsia="仿宋_GB2312"/>
          <w:kern w:val="0"/>
          <w:sz w:val="32"/>
          <w:szCs w:val="32"/>
          <w:shd w:val="clear" w:color="auto" w:fill="FFFFFF"/>
        </w:rPr>
        <w:t>按照《排污许可管理条例》相关规定，纳入固定污染源排污许可管理的，需在项目启动生产设施或发生实际排污前，依法取得排污许可手续，未取得排污许可</w:t>
      </w:r>
      <w:r>
        <w:rPr>
          <w:rFonts w:hint="eastAsia" w:ascii="仿宋_GB2312" w:hAnsi="Times New Roman" w:eastAsia="仿宋_GB2312"/>
          <w:kern w:val="0"/>
          <w:sz w:val="32"/>
          <w:szCs w:val="32"/>
          <w:shd w:val="clear" w:color="auto" w:fill="FFFFFF"/>
        </w:rPr>
        <w:t>手续</w:t>
      </w:r>
      <w:r>
        <w:rPr>
          <w:rFonts w:ascii="仿宋_GB2312" w:hAnsi="Times New Roman" w:eastAsia="仿宋_GB2312"/>
          <w:kern w:val="0"/>
          <w:sz w:val="32"/>
          <w:szCs w:val="32"/>
          <w:shd w:val="clear" w:color="auto" w:fill="FFFFFF"/>
        </w:rPr>
        <w:t>不得排放污染物。</w:t>
      </w:r>
    </w:p>
    <w:p>
      <w:pPr>
        <w:autoSpaceDE w:val="0"/>
        <w:adjustRightInd w:val="0"/>
        <w:spacing w:line="520" w:lineRule="exact"/>
        <w:ind w:firstLine="640" w:firstLineChars="200"/>
        <w:textAlignment w:val="baseline"/>
        <w:rPr>
          <w:rFonts w:ascii="Times New Roman" w:hAnsi="Times New Roman" w:eastAsia="仿宋_GB2312"/>
          <w:spacing w:val="-6"/>
          <w:sz w:val="32"/>
          <w:szCs w:val="32"/>
        </w:rPr>
      </w:pPr>
      <w:r>
        <w:rPr>
          <w:rFonts w:ascii="仿宋_GB2312" w:hAnsi="Times New Roman" w:eastAsia="仿宋_GB2312"/>
          <w:sz w:val="32"/>
          <w:szCs w:val="32"/>
        </w:rPr>
        <w:t>（九）认真组织实施《报告书》提出的环境监测计划，定期</w:t>
      </w:r>
      <w:r>
        <w:rPr>
          <w:rFonts w:ascii="仿宋_GB2312" w:hAnsi="Times New Roman" w:eastAsia="仿宋_GB2312"/>
          <w:spacing w:val="-6"/>
          <w:sz w:val="32"/>
          <w:szCs w:val="32"/>
        </w:rPr>
        <w:t>进行监测，发现异常立即停产，及时查明原因，采取有效控制措施。</w:t>
      </w:r>
    </w:p>
    <w:p>
      <w:pPr>
        <w:suppressAutoHyphens/>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suppressAutoHyphens/>
        <w:autoSpaceDE w:val="0"/>
        <w:spacing w:line="52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suppressAutoHyphens/>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五、你</w:t>
      </w:r>
      <w:r>
        <w:rPr>
          <w:rFonts w:ascii="仿宋_GB2312" w:hAnsi="Times New Roman" w:eastAsia="仿宋_GB2312"/>
          <w:spacing w:val="-10"/>
          <w:sz w:val="32"/>
          <w:szCs w:val="32"/>
        </w:rPr>
        <w:t>单位应按规定接受各级生态环境主管部门的监督检查。</w:t>
      </w:r>
      <w:r>
        <w:rPr>
          <w:rFonts w:ascii="仿宋_GB2312" w:hAnsi="Times New Roman" w:eastAsia="仿宋_GB2312"/>
          <w:sz w:val="32"/>
          <w:szCs w:val="32"/>
        </w:rPr>
        <w:t>请市生态环境局石林分局负责组织项目环境现场执法和日常监督管理，请市生态环境保护综合行政执法支队加强监督检查。</w:t>
      </w:r>
    </w:p>
    <w:p>
      <w:pPr>
        <w:suppressAutoHyphens/>
        <w:autoSpaceDE w:val="0"/>
        <w:adjustRightInd w:val="0"/>
        <w:spacing w:line="520" w:lineRule="exact"/>
        <w:ind w:firstLine="640" w:firstLineChars="200"/>
        <w:rPr>
          <w:rFonts w:ascii="Times New Roman" w:hAnsi="Times New Roman"/>
          <w:szCs w:val="21"/>
        </w:rPr>
      </w:pPr>
      <w:r>
        <w:rPr>
          <w:rFonts w:ascii="仿宋_GB2312" w:hAnsi="Times New Roman" w:eastAsia="仿宋_GB2312"/>
          <w:sz w:val="32"/>
          <w:szCs w:val="32"/>
        </w:rPr>
        <w:t>六、依法到其他部门办理相关手续。</w:t>
      </w:r>
    </w:p>
    <w:p>
      <w:pPr>
        <w:autoSpaceDE w:val="0"/>
        <w:snapToGrid w:val="0"/>
        <w:spacing w:line="520" w:lineRule="exact"/>
        <w:ind w:firstLine="360" w:firstLineChars="200"/>
        <w:rPr>
          <w:rFonts w:ascii="Times New Roman" w:hAnsi="Times New Roman"/>
          <w:sz w:val="18"/>
          <w:szCs w:val="18"/>
        </w:rPr>
      </w:pPr>
      <w:r>
        <w:rPr>
          <w:rFonts w:ascii="Times New Roman" w:hAnsi="Times New Roman"/>
          <w:sz w:val="18"/>
          <w:szCs w:val="18"/>
        </w:rPr>
        <w:t xml:space="preserve"> </w:t>
      </w:r>
    </w:p>
    <w:p>
      <w:pPr>
        <w:snapToGrid w:val="0"/>
        <w:spacing w:line="520" w:lineRule="exact"/>
        <w:ind w:firstLine="360" w:firstLineChars="200"/>
        <w:rPr>
          <w:rFonts w:hint="eastAsia" w:ascii="Times New Roman" w:hAnsi="Times New Roman"/>
          <w:sz w:val="18"/>
          <w:szCs w:val="18"/>
        </w:rPr>
      </w:pPr>
      <w:r>
        <w:rPr>
          <w:rFonts w:ascii="Times New Roman" w:hAnsi="Times New Roman"/>
          <w:sz w:val="18"/>
          <w:szCs w:val="18"/>
        </w:rPr>
        <w:t xml:space="preserve"> </w:t>
      </w:r>
    </w:p>
    <w:p>
      <w:pPr>
        <w:snapToGrid w:val="0"/>
        <w:spacing w:line="520" w:lineRule="exact"/>
        <w:ind w:firstLine="360" w:firstLineChars="200"/>
        <w:rPr>
          <w:rFonts w:ascii="Times New Roman" w:hAnsi="Times New Roman"/>
          <w:sz w:val="18"/>
          <w:szCs w:val="18"/>
        </w:rPr>
      </w:pPr>
    </w:p>
    <w:p>
      <w:pPr>
        <w:snapToGrid w:val="0"/>
        <w:spacing w:line="520" w:lineRule="exact"/>
        <w:ind w:firstLine="360" w:firstLineChars="200"/>
        <w:rPr>
          <w:rFonts w:ascii="Times New Roman" w:hAnsi="Times New Roman"/>
          <w:sz w:val="18"/>
          <w:szCs w:val="18"/>
        </w:rPr>
      </w:pPr>
      <w:r>
        <w:rPr>
          <w:rFonts w:ascii="Times New Roman" w:hAnsi="Times New Roman"/>
          <w:sz w:val="18"/>
          <w:szCs w:val="18"/>
        </w:rPr>
        <w:t xml:space="preserve"> </w:t>
      </w:r>
    </w:p>
    <w:p>
      <w:pPr>
        <w:adjustRightInd w:val="0"/>
        <w:snapToGrid w:val="0"/>
        <w:spacing w:line="520" w:lineRule="exact"/>
        <w:ind w:firstLine="4480" w:firstLineChars="1400"/>
        <w:rPr>
          <w:rFonts w:ascii="Times New Roman" w:hAnsi="Times New Roman" w:eastAsia="仿宋_GB2312"/>
          <w:sz w:val="32"/>
          <w:szCs w:val="32"/>
        </w:rPr>
      </w:pPr>
      <w:r>
        <w:rPr>
          <w:rFonts w:ascii="Times New Roman" w:hAnsi="Times New Roman" w:eastAsia="仿宋_GB2312"/>
          <w:sz w:val="32"/>
          <w:szCs w:val="32"/>
        </w:rPr>
        <w:t>2026</w:t>
      </w:r>
      <w:r>
        <w:rPr>
          <w:rFonts w:ascii="仿宋_GB2312" w:hAnsi="Times New Roman" w:eastAsia="仿宋_GB2312"/>
          <w:sz w:val="32"/>
          <w:szCs w:val="32"/>
        </w:rPr>
        <w:t>年</w:t>
      </w:r>
      <w:r>
        <w:rPr>
          <w:rFonts w:hint="eastAsia" w:ascii="Times New Roman" w:hAnsi="Times New Roman" w:eastAsia="仿宋_GB2312"/>
          <w:sz w:val="32"/>
          <w:szCs w:val="32"/>
        </w:rPr>
        <w:t>2</w:t>
      </w:r>
      <w:r>
        <w:rPr>
          <w:rFonts w:ascii="仿宋_GB2312" w:hAnsi="Times New Roman" w:eastAsia="仿宋_GB2312"/>
          <w:sz w:val="32"/>
          <w:szCs w:val="32"/>
        </w:rPr>
        <w:t>月</w:t>
      </w:r>
      <w:r>
        <w:rPr>
          <w:rFonts w:hint="eastAsia" w:ascii="Times New Roman" w:hAnsi="Times New Roman" w:eastAsia="仿宋_GB2312"/>
          <w:sz w:val="32"/>
          <w:szCs w:val="32"/>
        </w:rPr>
        <w:t>13</w:t>
      </w:r>
      <w:r>
        <w:rPr>
          <w:rFonts w:ascii="仿宋_GB2312" w:hAnsi="Times New Roman" w:eastAsia="仿宋_GB2312"/>
          <w:sz w:val="32"/>
          <w:szCs w:val="32"/>
        </w:rPr>
        <w:t>日</w:t>
      </w:r>
    </w:p>
    <w:p>
      <w:pPr>
        <w:keepNext/>
        <w:keepLines/>
        <w:spacing w:line="560" w:lineRule="exact"/>
        <w:ind w:firstLine="643" w:firstLineChars="200"/>
        <w:outlineLvl w:val="1"/>
        <w:rPr>
          <w:rFonts w:hint="eastAsia" w:ascii="Times New Roman" w:hAnsi="Times New Roman"/>
          <w:b/>
          <w:bCs/>
          <w:sz w:val="32"/>
          <w:szCs w:val="32"/>
        </w:rPr>
      </w:pPr>
      <w:r>
        <w:rPr>
          <w:rFonts w:ascii="Times New Roman" w:hAnsi="Times New Roman"/>
          <w:b/>
          <w:bCs/>
          <w:sz w:val="32"/>
          <w:szCs w:val="32"/>
        </w:rPr>
        <w:t xml:space="preserve"> </w:t>
      </w:r>
    </w:p>
    <w:p>
      <w:pPr>
        <w:keepNext/>
        <w:keepLines/>
        <w:spacing w:line="560" w:lineRule="exact"/>
        <w:ind w:firstLine="643" w:firstLineChars="200"/>
        <w:outlineLvl w:val="1"/>
        <w:rPr>
          <w:rFonts w:ascii="Times New Roman" w:hAnsi="Times New Roman"/>
          <w:b/>
          <w:bCs/>
          <w:sz w:val="32"/>
          <w:szCs w:val="32"/>
        </w:rPr>
      </w:pPr>
    </w:p>
    <w:p>
      <w:pPr>
        <w:spacing w:line="560" w:lineRule="exact"/>
        <w:rPr>
          <w:rFonts w:ascii="Times New Roman" w:hAnsi="Times New Roman"/>
          <w:szCs w:val="21"/>
        </w:rPr>
      </w:pPr>
    </w:p>
    <w:tbl>
      <w:tblPr>
        <w:tblStyle w:val="9"/>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1" w:hRule="atLeast"/>
          <w:jc w:val="center"/>
        </w:trPr>
        <w:tc>
          <w:tcPr>
            <w:tcW w:w="8844" w:type="dxa"/>
            <w:tcBorders>
              <w:top w:val="single" w:color="auto" w:sz="12" w:space="0"/>
              <w:left w:val="nil"/>
              <w:bottom w:val="single" w:color="auto" w:sz="8" w:space="0"/>
              <w:right w:val="nil"/>
            </w:tcBorders>
            <w:noWrap w:val="0"/>
            <w:vAlign w:val="center"/>
          </w:tcPr>
          <w:p>
            <w:pPr>
              <w:spacing w:line="560" w:lineRule="exact"/>
              <w:ind w:left="319" w:leftChars="152"/>
              <w:rPr>
                <w:rFonts w:ascii="Times New Roman" w:hAnsi="Times New Roman" w:eastAsia="仿宋_GB2312"/>
                <w:kern w:val="0"/>
                <w:sz w:val="28"/>
                <w:szCs w:val="28"/>
              </w:rPr>
            </w:pPr>
            <w:r>
              <w:rPr>
                <w:rFonts w:ascii="Times New Roman" w:hAnsi="Times New Roman" w:eastAsia="仿宋_GB2312"/>
                <w:kern w:val="0"/>
                <w:sz w:val="28"/>
                <w:szCs w:val="28"/>
              </w:rPr>
              <w:t>抄送：</w:t>
            </w:r>
            <w:r>
              <w:rPr>
                <w:rFonts w:hint="eastAsia" w:ascii="Times New Roman" w:hAnsi="Times New Roman" w:eastAsia="仿宋_GB2312"/>
                <w:kern w:val="0"/>
                <w:sz w:val="28"/>
                <w:szCs w:val="28"/>
              </w:rPr>
              <w:t>云南</w:t>
            </w:r>
            <w:r>
              <w:rPr>
                <w:rFonts w:ascii="Times New Roman" w:hAnsi="Times New Roman" w:eastAsia="仿宋_GB2312"/>
                <w:kern w:val="0"/>
                <w:sz w:val="28"/>
                <w:szCs w:val="28"/>
              </w:rPr>
              <w:t>省生态环境厅。市生态环境局石林分局，</w:t>
            </w:r>
            <w:r>
              <w:rPr>
                <w:rFonts w:ascii="Times New Roman" w:hAnsi="Times New Roman" w:eastAsia="仿宋_GB2312"/>
                <w:color w:val="000000"/>
                <w:kern w:val="0"/>
                <w:sz w:val="28"/>
                <w:szCs w:val="28"/>
              </w:rPr>
              <w:t>局机关各处室、各直属单位。云南清蓝源环保科技有限公司。</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1" w:hRule="atLeast"/>
          <w:jc w:val="center"/>
        </w:trPr>
        <w:tc>
          <w:tcPr>
            <w:tcW w:w="8844" w:type="dxa"/>
            <w:tcBorders>
              <w:top w:val="single" w:color="auto" w:sz="8" w:space="0"/>
              <w:left w:val="nil"/>
              <w:bottom w:val="single" w:color="auto" w:sz="12" w:space="0"/>
              <w:right w:val="nil"/>
            </w:tcBorders>
            <w:noWrap w:val="0"/>
            <w:vAlign w:val="center"/>
          </w:tcPr>
          <w:p>
            <w:pPr>
              <w:adjustRightInd w:val="0"/>
              <w:snapToGrid w:val="0"/>
              <w:spacing w:line="560" w:lineRule="exact"/>
              <w:ind w:right="73" w:rightChars="35" w:firstLine="280" w:firstLineChars="100"/>
              <w:rPr>
                <w:rFonts w:ascii="Times New Roman" w:hAnsi="Times New Roman" w:eastAsia="仿宋_GB2312"/>
                <w:kern w:val="0"/>
                <w:sz w:val="28"/>
                <w:szCs w:val="28"/>
              </w:rPr>
            </w:pPr>
            <w:r>
              <w:rPr>
                <w:rFonts w:ascii="Times New Roman" w:hAnsi="Times New Roman" w:eastAsia="仿宋_GB2312"/>
                <w:kern w:val="0"/>
                <w:sz w:val="28"/>
                <w:szCs w:val="28"/>
              </w:rPr>
              <w:t xml:space="preserve">昆明市生态环境局                     </w:t>
            </w:r>
            <w:r>
              <w:rPr>
                <w:rFonts w:hint="eastAsia" w:ascii="Times New Roman" w:hAnsi="Times New Roman" w:eastAsia="仿宋_GB2312"/>
                <w:kern w:val="0"/>
                <w:sz w:val="28"/>
                <w:szCs w:val="28"/>
              </w:rPr>
              <w:t> </w:t>
            </w:r>
            <w:r>
              <w:rPr>
                <w:rFonts w:ascii="Times New Roman" w:hAnsi="Times New Roman"/>
                <w:kern w:val="0"/>
                <w:sz w:val="28"/>
                <w:szCs w:val="28"/>
              </w:rPr>
              <w:t>2026</w:t>
            </w:r>
            <w:r>
              <w:rPr>
                <w:rFonts w:ascii="Times New Roman" w:hAnsi="Times New Roman" w:eastAsia="仿宋_GB2312"/>
                <w:kern w:val="0"/>
                <w:sz w:val="28"/>
                <w:szCs w:val="28"/>
              </w:rPr>
              <w:t>年2</w:t>
            </w:r>
            <w:r>
              <w:rPr>
                <w:rFonts w:ascii="仿宋_GB2312" w:hAnsi="Times New Roman" w:eastAsia="仿宋_GB2312"/>
                <w:kern w:val="0"/>
                <w:sz w:val="28"/>
                <w:szCs w:val="28"/>
              </w:rPr>
              <w:t>月</w:t>
            </w:r>
            <w:r>
              <w:rPr>
                <w:rFonts w:ascii="Times New Roman" w:hAnsi="Times New Roman" w:eastAsia="仿宋_GB2312"/>
                <w:kern w:val="0"/>
                <w:sz w:val="28"/>
                <w:szCs w:val="28"/>
              </w:rPr>
              <w:t>1</w:t>
            </w:r>
            <w:r>
              <w:rPr>
                <w:rFonts w:hint="eastAsia" w:ascii="Times New Roman" w:hAnsi="Times New Roman" w:eastAsia="仿宋_GB2312"/>
                <w:kern w:val="0"/>
                <w:sz w:val="28"/>
                <w:szCs w:val="28"/>
              </w:rPr>
              <w:t>3</w:t>
            </w:r>
            <w:r>
              <w:rPr>
                <w:rFonts w:ascii="Times New Roman" w:hAnsi="Times New Roman" w:eastAsia="仿宋_GB2312"/>
                <w:kern w:val="0"/>
                <w:sz w:val="28"/>
                <w:szCs w:val="28"/>
              </w:rPr>
              <w:t>日印发</w:t>
            </w:r>
          </w:p>
        </w:tc>
      </w:tr>
    </w:tbl>
    <w:p>
      <w:pPr>
        <w:spacing w:line="700" w:lineRule="exact"/>
        <w:rPr>
          <w:rFonts w:ascii="Times New Roman" w:hAnsi="Times New Roman" w:eastAsia="仿宋_GB2312"/>
          <w:sz w:val="28"/>
          <w:szCs w:val="28"/>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- 7 -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13EB"/>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492"/>
    <w:rsid w:val="000847B2"/>
    <w:rsid w:val="00085932"/>
    <w:rsid w:val="00085987"/>
    <w:rsid w:val="00087125"/>
    <w:rsid w:val="000905FB"/>
    <w:rsid w:val="00091579"/>
    <w:rsid w:val="000932B3"/>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1889"/>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457"/>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469A7"/>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D72"/>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E4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5EB4"/>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7E5"/>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454C"/>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433"/>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1CA"/>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753D7"/>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D6CD8"/>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6CD2"/>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4D79"/>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B69"/>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45B"/>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244"/>
    <w:rsid w:val="00AF7C90"/>
    <w:rsid w:val="00B00A2F"/>
    <w:rsid w:val="00B0130E"/>
    <w:rsid w:val="00B02F6D"/>
    <w:rsid w:val="00B03AD6"/>
    <w:rsid w:val="00B04B7A"/>
    <w:rsid w:val="00B06027"/>
    <w:rsid w:val="00B06D8C"/>
    <w:rsid w:val="00B100CF"/>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4047"/>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B3A"/>
    <w:rsid w:val="00C32E56"/>
    <w:rsid w:val="00C33308"/>
    <w:rsid w:val="00C33E42"/>
    <w:rsid w:val="00C3569A"/>
    <w:rsid w:val="00C364FC"/>
    <w:rsid w:val="00C37238"/>
    <w:rsid w:val="00C374A5"/>
    <w:rsid w:val="00C375D2"/>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D6EA9"/>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27F15"/>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E7F63"/>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5CE8"/>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A7F1B"/>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A5E4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2026-02-27T01:46:00Z</dcterms:created>
  <dc:creator>李敏</dc:creator>
  <cp:lastModifiedBy>李敏</cp:lastModifiedBy>
  <dcterms:modified xsi:type="dcterms:W3CDTF">2026-02-27T01:47:52Z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