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9</w:t>
      </w:r>
      <w:r>
        <w:rPr>
          <w:rFonts w:ascii="Times New Roman" w:hAnsi="Times New Roman" w:eastAsia="仿宋_GB2312"/>
          <w:color w:val="000000"/>
          <w:sz w:val="32"/>
        </w:rPr>
        <w:t>-</w:t>
      </w:r>
      <w:r>
        <w:rPr>
          <w:rFonts w:hint="eastAsia" w:ascii="Times New Roman" w:hAnsi="Times New Roman" w:eastAsia="仿宋_GB2312"/>
          <w:color w:val="000000"/>
          <w:sz w:val="32"/>
        </w:rPr>
        <w:t>4</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spacing w:line="510" w:lineRule="exact"/>
        <w:rPr>
          <w:rFonts w:ascii="方正小标宋_GBK" w:hAnsi="方正小标宋_GBK" w:eastAsia="方正小标宋_GBK"/>
          <w:color w:val="FF0000"/>
          <w:spacing w:val="34"/>
          <w:sz w:val="84"/>
          <w:szCs w:val="84"/>
        </w:rPr>
      </w:pPr>
    </w:p>
    <w:p>
      <w:pPr>
        <w:autoSpaceDE w:val="0"/>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昆明市生态环境局关于《天然产物光生物合成产业化项目</w:t>
      </w:r>
      <w:r>
        <w:rPr>
          <w:rFonts w:hint="eastAsia" w:ascii="方正小标宋简体" w:hAnsi="方正小标宋简体" w:eastAsia="方正小标宋简体"/>
          <w:sz w:val="44"/>
          <w:szCs w:val="44"/>
        </w:rPr>
        <w:t>环境影响报告表</w:t>
      </w:r>
      <w:r>
        <w:rPr>
          <w:rFonts w:ascii="方正小标宋简体" w:hAnsi="方正小标宋简体" w:eastAsia="方正小标宋简体"/>
          <w:sz w:val="44"/>
          <w:szCs w:val="44"/>
        </w:rPr>
        <w:t>》的批复</w:t>
      </w:r>
    </w:p>
    <w:p>
      <w:pPr>
        <w:autoSpaceDE w:val="0"/>
        <w:spacing w:line="540" w:lineRule="exact"/>
        <w:rPr>
          <w:rFonts w:ascii="Times New Roman" w:hAnsi="Times New Roman" w:eastAsia="方正小标宋简体"/>
          <w:sz w:val="44"/>
          <w:szCs w:val="44"/>
        </w:rPr>
      </w:pPr>
      <w:r>
        <w:rPr>
          <w:rFonts w:ascii="Times New Roman" w:hAnsi="Times New Roman" w:eastAsia="方正小标宋简体"/>
          <w:sz w:val="44"/>
          <w:szCs w:val="44"/>
        </w:rPr>
        <w:t xml:space="preserve"> </w:t>
      </w:r>
    </w:p>
    <w:p>
      <w:pPr>
        <w:spacing w:line="540" w:lineRule="exact"/>
        <w:rPr>
          <w:rFonts w:ascii="Times New Roman" w:hAnsi="Times New Roman" w:eastAsia="仿宋_GB2312"/>
          <w:sz w:val="32"/>
          <w:szCs w:val="32"/>
        </w:rPr>
      </w:pPr>
      <w:r>
        <w:rPr>
          <w:rFonts w:ascii="仿宋_GB2312" w:hAnsi="Times New Roman" w:eastAsia="仿宋_GB2312"/>
          <w:sz w:val="32"/>
          <w:szCs w:val="32"/>
        </w:rPr>
        <w:t>爱森泽生物技术（昆明）有限公司：</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你单位委托云南卓清环保科技有限公司编制的《天然产物光生物合成产业化项目环境影响报告表》（以下简称《报告表》，项目代码：</w:t>
      </w:r>
      <w:r>
        <w:rPr>
          <w:rFonts w:ascii="Times New Roman" w:hAnsi="Times New Roman" w:eastAsia="仿宋_GB2312"/>
          <w:sz w:val="32"/>
          <w:szCs w:val="32"/>
        </w:rPr>
        <w:t>2506-530181-04-01-678087</w:t>
      </w:r>
      <w:r>
        <w:rPr>
          <w:rFonts w:ascii="仿宋_GB2312" w:hAnsi="Times New Roman" w:eastAsia="仿宋_GB2312"/>
          <w:sz w:val="32"/>
          <w:szCs w:val="32"/>
        </w:rPr>
        <w:t>）收悉。根据《中华人民共和国环境影响评价法》第二十二条、《建设项目环境保护管理条例》第九条，经研究，批复如下：</w:t>
      </w:r>
    </w:p>
    <w:p>
      <w:pPr>
        <w:widowControl/>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w:t>
      </w:r>
      <w:r>
        <w:rPr>
          <w:rFonts w:ascii="仿宋_GB2312" w:hAnsi="Times New Roman" w:eastAsia="仿宋_GB2312"/>
          <w:color w:val="000000"/>
          <w:sz w:val="32"/>
          <w:szCs w:val="32"/>
        </w:rPr>
        <w:t>项目建设地点位于安宁市</w:t>
      </w:r>
      <w:r>
        <w:rPr>
          <w:rFonts w:ascii="仿宋_GB2312" w:hAnsi="Times New Roman" w:eastAsia="仿宋_GB2312"/>
          <w:color w:val="000000"/>
          <w:kern w:val="0"/>
          <w:sz w:val="32"/>
          <w:szCs w:val="32"/>
        </w:rPr>
        <w:t>金方街道办事处普河村委会普馨路</w:t>
      </w:r>
      <w:r>
        <w:rPr>
          <w:rFonts w:ascii="Times New Roman" w:hAnsi="Times New Roman" w:eastAsia="仿宋_GB2312"/>
          <w:color w:val="000000"/>
          <w:kern w:val="0"/>
          <w:sz w:val="32"/>
          <w:szCs w:val="32"/>
        </w:rPr>
        <w:t>1</w:t>
      </w:r>
      <w:r>
        <w:rPr>
          <w:rFonts w:ascii="仿宋_GB2312" w:hAnsi="Times New Roman" w:eastAsia="仿宋_GB2312"/>
          <w:color w:val="000000"/>
          <w:kern w:val="0"/>
          <w:sz w:val="32"/>
          <w:szCs w:val="32"/>
        </w:rPr>
        <w:t>号</w:t>
      </w:r>
      <w:r>
        <w:rPr>
          <w:rFonts w:ascii="仿宋_GB2312" w:hAnsi="Times New Roman" w:eastAsia="仿宋_GB2312"/>
          <w:color w:val="000000"/>
          <w:sz w:val="32"/>
          <w:szCs w:val="32"/>
        </w:rPr>
        <w:t>，</w:t>
      </w:r>
      <w:r>
        <w:rPr>
          <w:rFonts w:ascii="仿宋_GB2312" w:hAnsi="Times New Roman" w:eastAsia="仿宋_GB2312"/>
          <w:sz w:val="32"/>
          <w:szCs w:val="32"/>
        </w:rPr>
        <w:t>总占地面积</w:t>
      </w:r>
      <w:r>
        <w:rPr>
          <w:rFonts w:ascii="Times New Roman" w:hAnsi="Times New Roman" w:eastAsia="仿宋_GB2312"/>
          <w:sz w:val="32"/>
          <w:szCs w:val="32"/>
        </w:rPr>
        <w:t>145960.37m</w:t>
      </w:r>
      <w:r>
        <w:rPr>
          <w:rFonts w:ascii="Times New Roman" w:hAnsi="Times New Roman" w:eastAsia="仿宋_GB2312"/>
          <w:sz w:val="32"/>
          <w:szCs w:val="32"/>
          <w:vertAlign w:val="superscript"/>
        </w:rPr>
        <w:t>2</w:t>
      </w:r>
      <w:r>
        <w:rPr>
          <w:rFonts w:ascii="仿宋_GB2312" w:hAnsi="Times New Roman" w:eastAsia="仿宋_GB2312"/>
          <w:sz w:val="32"/>
          <w:szCs w:val="32"/>
        </w:rPr>
        <w:t>。项目建设</w:t>
      </w:r>
      <w:r>
        <w:rPr>
          <w:rFonts w:ascii="Times New Roman" w:hAnsi="Times New Roman" w:eastAsia="仿宋_GB2312"/>
          <w:sz w:val="32"/>
          <w:szCs w:val="32"/>
        </w:rPr>
        <w:t>1</w:t>
      </w:r>
      <w:r>
        <w:rPr>
          <w:rFonts w:ascii="仿宋_GB2312" w:hAnsi="Times New Roman" w:eastAsia="仿宋_GB2312"/>
          <w:sz w:val="32"/>
          <w:szCs w:val="32"/>
        </w:rPr>
        <w:t>条雨生红球藻养殖生产线、</w:t>
      </w:r>
      <w:r>
        <w:rPr>
          <w:rFonts w:ascii="Times New Roman" w:hAnsi="Times New Roman" w:eastAsia="仿宋_GB2312"/>
          <w:sz w:val="32"/>
          <w:szCs w:val="32"/>
        </w:rPr>
        <w:t>1</w:t>
      </w:r>
      <w:r>
        <w:rPr>
          <w:rFonts w:ascii="仿宋_GB2312" w:hAnsi="Times New Roman" w:eastAsia="仿宋_GB2312"/>
          <w:sz w:val="32"/>
          <w:szCs w:val="32"/>
        </w:rPr>
        <w:t>条三角褐指藻养殖生产线。项目建成后</w:t>
      </w:r>
      <w:r>
        <w:rPr>
          <w:rFonts w:ascii="仿宋_GB2312" w:hAnsi="Times New Roman" w:eastAsia="仿宋_GB2312"/>
          <w:color w:val="000000"/>
          <w:kern w:val="0"/>
          <w:sz w:val="32"/>
          <w:szCs w:val="32"/>
        </w:rPr>
        <w:t>年产雨生红球藻鲜粉</w:t>
      </w:r>
      <w:r>
        <w:rPr>
          <w:rFonts w:ascii="Times New Roman" w:hAnsi="Times New Roman" w:eastAsia="仿宋_GB2312"/>
          <w:color w:val="000000"/>
          <w:kern w:val="0"/>
          <w:sz w:val="32"/>
          <w:szCs w:val="32"/>
        </w:rPr>
        <w:t>75t</w:t>
      </w:r>
      <w:r>
        <w:rPr>
          <w:rFonts w:ascii="仿宋_GB2312" w:hAnsi="Times New Roman" w:eastAsia="仿宋_GB2312"/>
          <w:color w:val="000000"/>
          <w:kern w:val="0"/>
          <w:sz w:val="32"/>
          <w:szCs w:val="32"/>
        </w:rPr>
        <w:t>、雨生红球藻干粉</w:t>
      </w:r>
      <w:r>
        <w:rPr>
          <w:rFonts w:ascii="Times New Roman" w:hAnsi="Times New Roman" w:eastAsia="仿宋_GB2312"/>
          <w:color w:val="000000"/>
          <w:kern w:val="0"/>
          <w:sz w:val="32"/>
          <w:szCs w:val="32"/>
        </w:rPr>
        <w:t>30t</w:t>
      </w:r>
      <w:r>
        <w:rPr>
          <w:rFonts w:ascii="仿宋_GB2312" w:hAnsi="Times New Roman" w:eastAsia="仿宋_GB2312"/>
          <w:color w:val="000000"/>
          <w:kern w:val="0"/>
          <w:sz w:val="32"/>
          <w:szCs w:val="32"/>
        </w:rPr>
        <w:t>、三角褐指藻鲜粉</w:t>
      </w:r>
      <w:r>
        <w:rPr>
          <w:rFonts w:ascii="Times New Roman" w:hAnsi="Times New Roman" w:eastAsia="仿宋_GB2312"/>
          <w:color w:val="000000"/>
          <w:kern w:val="0"/>
          <w:sz w:val="32"/>
          <w:szCs w:val="32"/>
        </w:rPr>
        <w:t>70t</w:t>
      </w:r>
      <w:r>
        <w:rPr>
          <w:rFonts w:ascii="仿宋_GB2312" w:hAnsi="Times New Roman" w:eastAsia="仿宋_GB2312"/>
          <w:color w:val="000000"/>
          <w:kern w:val="0"/>
          <w:sz w:val="32"/>
          <w:szCs w:val="32"/>
        </w:rPr>
        <w:t>。</w:t>
      </w:r>
    </w:p>
    <w:p>
      <w:pPr>
        <w:autoSpaceDE w:val="0"/>
        <w:autoSpaceDN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10000</w:t>
      </w:r>
      <w:r>
        <w:rPr>
          <w:rFonts w:ascii="仿宋_GB2312" w:hAnsi="Times New Roman" w:eastAsia="仿宋_GB2312"/>
          <w:sz w:val="32"/>
          <w:szCs w:val="32"/>
        </w:rPr>
        <w:t>万元，其中环保投资</w:t>
      </w:r>
      <w:r>
        <w:rPr>
          <w:rFonts w:ascii="Times New Roman" w:hAnsi="Times New Roman" w:eastAsia="仿宋_GB2312"/>
          <w:sz w:val="32"/>
          <w:szCs w:val="32"/>
        </w:rPr>
        <w:t>418.3</w:t>
      </w:r>
      <w:r>
        <w:rPr>
          <w:rFonts w:ascii="仿宋_GB2312" w:hAnsi="Times New Roman" w:eastAsia="仿宋_GB2312"/>
          <w:sz w:val="32"/>
          <w:szCs w:val="32"/>
        </w:rPr>
        <w:t>万元。</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根据昆明市生态环境工程评估中心出具的《关于对〈天然产物光生物合成产业化项目环境影响报告表〉的技术评估意见》（昆环评估意见</w:t>
      </w:r>
      <w:r>
        <w:rPr>
          <w:rFonts w:ascii="Times New Roman" w:hAnsi="Times New Roman" w:eastAsia="仿宋_GB2312"/>
          <w:sz w:val="32"/>
          <w:szCs w:val="32"/>
        </w:rPr>
        <w:t xml:space="preserve"> </w:t>
      </w:r>
      <w:r>
        <w:rPr>
          <w:rFonts w:ascii="仿宋_GB2312" w:hAnsi="Times New Roman" w:eastAsia="仿宋_GB2312"/>
          <w:sz w:val="32"/>
          <w:szCs w:val="32"/>
        </w:rPr>
        <w:t>安宁〔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9-4</w:t>
      </w:r>
      <w:r>
        <w:rPr>
          <w:rFonts w:ascii="仿宋_GB2312" w:hAnsi="Times New Roman" w:eastAsia="仿宋_GB2312"/>
          <w:sz w:val="32"/>
          <w:szCs w:val="32"/>
        </w:rPr>
        <w:t>号），在全面落实《报告表》提出的各项生态保护和污染防治措施后，项目建设和运营的不良环境影响可以得到缓解和控制，同意项目按《报告表》所述工程内容、规模、功能、环保对策措施进行建设。</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二、项目建设及运营期间重点做好以下工作</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widowControl/>
        <w:spacing w:line="540" w:lineRule="exact"/>
        <w:ind w:firstLine="640" w:firstLineChars="200"/>
        <w:rPr>
          <w:rFonts w:ascii="Times New Roman" w:hAnsi="Times New Roman" w:eastAsia="仿宋_GB2312"/>
          <w:color w:val="FF0000"/>
          <w:sz w:val="32"/>
          <w:szCs w:val="32"/>
        </w:rPr>
      </w:pPr>
      <w:r>
        <w:rPr>
          <w:rFonts w:ascii="仿宋_GB2312" w:hAnsi="Times New Roman" w:eastAsia="仿宋_GB2312"/>
          <w:sz w:val="32"/>
          <w:szCs w:val="32"/>
        </w:rPr>
        <w:t>项目</w:t>
      </w:r>
      <w:r>
        <w:rPr>
          <w:rFonts w:ascii="仿宋_GB2312" w:hAnsi="Times New Roman" w:eastAsia="仿宋_GB2312"/>
          <w:color w:val="000000"/>
          <w:kern w:val="0"/>
          <w:sz w:val="32"/>
          <w:szCs w:val="32"/>
        </w:rPr>
        <w:t>运营期产生的生活污水经处理达《污水综合排放标准》（</w:t>
      </w:r>
      <w:r>
        <w:rPr>
          <w:rFonts w:ascii="Times New Roman" w:hAnsi="Times New Roman" w:eastAsia="仿宋_GB2312"/>
          <w:color w:val="000000"/>
          <w:kern w:val="0"/>
          <w:sz w:val="32"/>
          <w:szCs w:val="32"/>
        </w:rPr>
        <w:t>GB8978-1996</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4</w:t>
      </w:r>
      <w:r>
        <w:rPr>
          <w:rFonts w:ascii="仿宋_GB2312" w:hAnsi="Times New Roman" w:eastAsia="仿宋_GB2312"/>
          <w:color w:val="000000"/>
          <w:kern w:val="0"/>
          <w:sz w:val="32"/>
          <w:szCs w:val="32"/>
        </w:rPr>
        <w:t>中的三级标准后与一级纯水制备浓水排入市政污水管网，最终汇入太平新城南部污水处理厂。项目雨生红球藻自然沉</w:t>
      </w:r>
      <w:r>
        <w:rPr>
          <w:rFonts w:ascii="仿宋_GB2312" w:hAnsi="Times New Roman" w:eastAsia="仿宋_GB2312"/>
          <w:kern w:val="0"/>
          <w:sz w:val="32"/>
          <w:szCs w:val="32"/>
        </w:rPr>
        <w:t>降及压滤废水、工艺技术平台地面清洗废水、托盘清洗废水、纯水制备设备反冲洗废水、实验仪器清洗废水经项目自建处理能力不小于</w:t>
      </w:r>
      <w:r>
        <w:rPr>
          <w:rFonts w:ascii="Times New Roman" w:hAnsi="Times New Roman" w:eastAsia="仿宋_GB2312"/>
          <w:kern w:val="0"/>
          <w:sz w:val="32"/>
          <w:szCs w:val="32"/>
        </w:rPr>
        <w:t>360m</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/d</w:t>
      </w:r>
      <w:r>
        <w:rPr>
          <w:rFonts w:ascii="仿宋_GB2312" w:hAnsi="Times New Roman" w:eastAsia="仿宋_GB2312"/>
          <w:kern w:val="0"/>
          <w:sz w:val="32"/>
          <w:szCs w:val="32"/>
        </w:rPr>
        <w:t>污水站进行处理后进入</w:t>
      </w:r>
      <w:r>
        <w:rPr>
          <w:rFonts w:ascii="Times New Roman" w:hAnsi="Times New Roman" w:eastAsia="仿宋_GB2312"/>
          <w:kern w:val="0"/>
          <w:sz w:val="32"/>
          <w:szCs w:val="32"/>
        </w:rPr>
        <w:t>8000m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冷却水池回用于光生物反应器降温；项目天然气锅炉强排水、高压灭菌冷凝水、一级培养泵冲洗废水、二级培养光生物反应器清洗废水、二级纯水制备浓水、配置水箱清洗废水、烧瓶清洗废水、三级培养光生物反应器清洗废水、二级光生物反应器降温废水、三级光生物反应器降温废水直接进入</w:t>
      </w:r>
      <w:r>
        <w:rPr>
          <w:rFonts w:ascii="Times New Roman" w:hAnsi="Times New Roman" w:eastAsia="仿宋_GB2312"/>
          <w:kern w:val="0"/>
          <w:sz w:val="32"/>
          <w:szCs w:val="32"/>
        </w:rPr>
        <w:t>8000m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冷却水池，部分循环回用，剩余部分排入市政污水管网，最终进入太平新城南部污水处理厂处理；项目三角褐指藻离心废水经自建处理能力不小于</w:t>
      </w:r>
      <w:r>
        <w:rPr>
          <w:rFonts w:ascii="Times New Roman" w:hAnsi="Times New Roman" w:eastAsia="仿宋_GB2312"/>
          <w:kern w:val="0"/>
          <w:sz w:val="32"/>
          <w:szCs w:val="32"/>
        </w:rPr>
        <w:t>80m</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/d</w:t>
      </w:r>
      <w:r>
        <w:rPr>
          <w:rFonts w:ascii="仿宋_GB2312" w:hAnsi="Times New Roman" w:eastAsia="仿宋_GB2312"/>
          <w:kern w:val="0"/>
          <w:sz w:val="32"/>
          <w:szCs w:val="32"/>
        </w:rPr>
        <w:t>污水站进行处理后回用于三角褐指藻养殖过程；项目</w:t>
      </w:r>
      <w:r>
        <w:rPr>
          <w:rFonts w:ascii="Times New Roman" w:hAnsi="Times New Roman" w:eastAsia="仿宋_GB2312"/>
          <w:kern w:val="0"/>
          <w:sz w:val="32"/>
          <w:szCs w:val="32"/>
        </w:rPr>
        <w:t>PE</w:t>
      </w:r>
      <w:r>
        <w:rPr>
          <w:rFonts w:ascii="仿宋_GB2312" w:hAnsi="Times New Roman" w:eastAsia="仿宋_GB2312"/>
          <w:kern w:val="0"/>
          <w:sz w:val="32"/>
          <w:szCs w:val="32"/>
        </w:rPr>
        <w:t>袋降温废水经下方沟渠收集后进入</w:t>
      </w:r>
      <w:r>
        <w:rPr>
          <w:rFonts w:ascii="Times New Roman" w:hAnsi="Times New Roman" w:eastAsia="仿宋_GB2312"/>
          <w:kern w:val="0"/>
          <w:sz w:val="32"/>
          <w:szCs w:val="32"/>
        </w:rPr>
        <w:t>600m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冷却水池，冷却后全部回用于</w:t>
      </w:r>
      <w:r>
        <w:rPr>
          <w:rFonts w:ascii="Times New Roman" w:hAnsi="Times New Roman" w:eastAsia="仿宋_GB2312"/>
          <w:kern w:val="0"/>
          <w:sz w:val="32"/>
          <w:szCs w:val="32"/>
        </w:rPr>
        <w:t>PE</w:t>
      </w:r>
      <w:r>
        <w:rPr>
          <w:rFonts w:ascii="仿宋_GB2312" w:hAnsi="Times New Roman" w:eastAsia="仿宋_GB2312"/>
          <w:kern w:val="0"/>
          <w:sz w:val="32"/>
          <w:szCs w:val="32"/>
        </w:rPr>
        <w:t>袋降温；项目真空干燥设备冷却废水、真空干燥设备冷凝水经</w:t>
      </w:r>
      <w:r>
        <w:rPr>
          <w:rFonts w:ascii="Times New Roman" w:hAnsi="Times New Roman" w:eastAsia="仿宋_GB2312"/>
          <w:kern w:val="0"/>
          <w:sz w:val="32"/>
          <w:szCs w:val="32"/>
        </w:rPr>
        <w:t>90m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冷却水池收集后直接回用于真空干燥设备冷却。项目外排废水执行《城市污水再生利用</w:t>
      </w:r>
      <w:r>
        <w:rPr>
          <w:rFonts w:ascii="Times New Roman" w:hAnsi="Times New Roman" w:eastAsia="仿宋_GB2312"/>
          <w:kern w:val="0"/>
          <w:sz w:val="32"/>
          <w:szCs w:val="32"/>
        </w:rPr>
        <w:t xml:space="preserve"> </w:t>
      </w:r>
      <w:r>
        <w:rPr>
          <w:rFonts w:ascii="仿宋_GB2312" w:hAnsi="Times New Roman" w:eastAsia="仿宋_GB2312"/>
          <w:kern w:val="0"/>
          <w:sz w:val="32"/>
          <w:szCs w:val="32"/>
        </w:rPr>
        <w:t>工业用水水质》（</w:t>
      </w:r>
      <w:r>
        <w:rPr>
          <w:rFonts w:ascii="Times New Roman" w:hAnsi="Times New Roman" w:eastAsia="仿宋_GB2312"/>
          <w:kern w:val="0"/>
          <w:sz w:val="32"/>
          <w:szCs w:val="32"/>
        </w:rPr>
        <w:t>GB/T 19923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2024</w:t>
      </w:r>
      <w:r>
        <w:rPr>
          <w:rFonts w:ascii="仿宋_GB2312" w:hAnsi="Times New Roman" w:eastAsia="仿宋_GB2312"/>
          <w:kern w:val="0"/>
          <w:sz w:val="32"/>
          <w:szCs w:val="32"/>
        </w:rPr>
        <w:t>）中敞开式冷却水系统补充水标准、《污水综合排放标准》</w:t>
      </w:r>
      <w:r>
        <w:rPr>
          <w:rFonts w:ascii="Times New Roman" w:hAnsi="Times New Roman" w:eastAsia="仿宋_GB2312"/>
          <w:kern w:val="0"/>
          <w:sz w:val="32"/>
          <w:szCs w:val="32"/>
        </w:rPr>
        <w:t>(GB 8978</w:t>
      </w:r>
      <w:r>
        <w:rPr>
          <w:rFonts w:hint="eastAsia" w:ascii="Times New Roman" w:hAnsi="Times New Roman" w:eastAsia="仿宋_GB2312"/>
          <w:kern w:val="0"/>
          <w:sz w:val="32"/>
          <w:szCs w:val="32"/>
        </w:rPr>
        <w:t>-</w:t>
      </w:r>
      <w:r>
        <w:rPr>
          <w:rFonts w:ascii="Times New Roman" w:hAnsi="Times New Roman" w:eastAsia="仿宋_GB2312"/>
          <w:kern w:val="0"/>
          <w:sz w:val="32"/>
          <w:szCs w:val="32"/>
        </w:rPr>
        <w:t>1996)</w:t>
      </w:r>
      <w:r>
        <w:rPr>
          <w:rFonts w:ascii="仿宋_GB2312" w:hAnsi="Times New Roman" w:eastAsia="仿宋_GB2312"/>
          <w:kern w:val="0"/>
          <w:sz w:val="32"/>
          <w:szCs w:val="32"/>
        </w:rPr>
        <w:t>表</w:t>
      </w:r>
      <w:r>
        <w:rPr>
          <w:rFonts w:ascii="Times New Roman" w:hAnsi="Times New Roman" w:eastAsia="仿宋_GB2312"/>
          <w:kern w:val="0"/>
          <w:sz w:val="32"/>
          <w:szCs w:val="32"/>
        </w:rPr>
        <w:t>4</w:t>
      </w:r>
      <w:r>
        <w:rPr>
          <w:rFonts w:ascii="仿宋_GB2312" w:hAnsi="Times New Roman" w:eastAsia="仿宋_GB2312"/>
          <w:kern w:val="0"/>
          <w:sz w:val="32"/>
          <w:szCs w:val="32"/>
        </w:rPr>
        <w:t>三级标准。</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项目施工期应设置拦水、截水、排水工程，施工过程中产生的废水和施工人员生活污水应采取沉淀等处理措施后全部回用于施工用水及施工场地洒水降尘。</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widowControl/>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项目运营期共设置</w:t>
      </w:r>
      <w:r>
        <w:rPr>
          <w:rFonts w:ascii="Times New Roman" w:hAnsi="Times New Roman" w:eastAsia="仿宋_GB2312"/>
          <w:sz w:val="32"/>
          <w:szCs w:val="32"/>
        </w:rPr>
        <w:t>3</w:t>
      </w:r>
      <w:r>
        <w:rPr>
          <w:rFonts w:ascii="仿宋_GB2312" w:hAnsi="Times New Roman" w:eastAsia="仿宋_GB2312"/>
          <w:sz w:val="32"/>
          <w:szCs w:val="32"/>
        </w:rPr>
        <w:t>根废气排气筒，排气筒高度不低于</w:t>
      </w:r>
      <w:r>
        <w:rPr>
          <w:rFonts w:ascii="Times New Roman" w:hAnsi="Times New Roman" w:eastAsia="仿宋_GB2312"/>
          <w:sz w:val="32"/>
          <w:szCs w:val="32"/>
        </w:rPr>
        <w:t>8m</w:t>
      </w:r>
      <w:r>
        <w:rPr>
          <w:rFonts w:ascii="仿宋_GB2312" w:hAnsi="Times New Roman" w:eastAsia="仿宋_GB2312"/>
          <w:sz w:val="32"/>
          <w:szCs w:val="32"/>
        </w:rPr>
        <w:t>。</w:t>
      </w:r>
    </w:p>
    <w:p>
      <w:pPr>
        <w:widowControl/>
        <w:spacing w:line="54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天然气锅炉燃烧产生的颗粒物、二氧化硫、</w:t>
      </w:r>
      <w:r>
        <w:rPr>
          <w:rFonts w:ascii="Times New Roman" w:hAnsi="Times New Roman" w:eastAsia="仿宋_GB2312"/>
          <w:color w:val="000000"/>
          <w:kern w:val="0"/>
          <w:sz w:val="32"/>
          <w:szCs w:val="32"/>
        </w:rPr>
        <w:t>NOx</w:t>
      </w:r>
      <w:r>
        <w:rPr>
          <w:rFonts w:ascii="仿宋_GB2312" w:hAnsi="Times New Roman" w:eastAsia="仿宋_GB2312"/>
          <w:color w:val="000000"/>
          <w:kern w:val="0"/>
          <w:sz w:val="32"/>
          <w:szCs w:val="32"/>
        </w:rPr>
        <w:t>、林格曼黑度排放执行《锅炉大气污染物排放标准》（</w:t>
      </w:r>
      <w:r>
        <w:rPr>
          <w:rFonts w:ascii="Times New Roman" w:hAnsi="Times New Roman" w:eastAsia="仿宋_GB2312"/>
          <w:color w:val="000000"/>
          <w:kern w:val="0"/>
          <w:sz w:val="32"/>
          <w:szCs w:val="32"/>
        </w:rPr>
        <w:t>GB13271-2014</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2</w:t>
      </w:r>
      <w:r>
        <w:rPr>
          <w:rFonts w:ascii="仿宋_GB2312" w:hAnsi="Times New Roman" w:eastAsia="仿宋_GB2312"/>
          <w:color w:val="000000"/>
          <w:kern w:val="0"/>
          <w:sz w:val="32"/>
          <w:szCs w:val="32"/>
        </w:rPr>
        <w:t>中新建燃气锅炉的排放标准；项目检测试验产生的非甲烷总烃排放执行《大气污染物综合排放标准》（</w:t>
      </w:r>
      <w:r>
        <w:rPr>
          <w:rFonts w:ascii="Times New Roman" w:hAnsi="Times New Roman" w:eastAsia="仿宋_GB2312"/>
          <w:color w:val="000000"/>
          <w:kern w:val="0"/>
          <w:sz w:val="32"/>
          <w:szCs w:val="32"/>
        </w:rPr>
        <w:t>GB16297-1996</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2</w:t>
      </w:r>
      <w:r>
        <w:rPr>
          <w:rFonts w:ascii="仿宋_GB2312" w:hAnsi="Times New Roman" w:eastAsia="仿宋_GB2312"/>
          <w:color w:val="000000"/>
          <w:kern w:val="0"/>
          <w:sz w:val="32"/>
          <w:szCs w:val="32"/>
        </w:rPr>
        <w:t>中二级浓度限值，排放速率严格</w:t>
      </w:r>
      <w:r>
        <w:rPr>
          <w:rFonts w:ascii="Times New Roman" w:hAnsi="Times New Roman" w:eastAsia="仿宋_GB2312"/>
          <w:color w:val="000000"/>
          <w:kern w:val="0"/>
          <w:sz w:val="32"/>
          <w:szCs w:val="32"/>
        </w:rPr>
        <w:t>50%</w:t>
      </w:r>
      <w:r>
        <w:rPr>
          <w:rFonts w:ascii="仿宋_GB2312" w:hAnsi="Times New Roman" w:eastAsia="仿宋_GB2312"/>
          <w:color w:val="000000"/>
          <w:kern w:val="0"/>
          <w:sz w:val="32"/>
          <w:szCs w:val="32"/>
        </w:rPr>
        <w:t>执行。</w:t>
      </w:r>
    </w:p>
    <w:p>
      <w:pPr>
        <w:widowControl/>
        <w:spacing w:line="54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厂界非甲烷总烃浓度执行《大气污染物综合排放标准》（</w:t>
      </w:r>
      <w:r>
        <w:rPr>
          <w:rFonts w:ascii="Times New Roman" w:hAnsi="Times New Roman" w:eastAsia="仿宋_GB2312"/>
          <w:color w:val="000000"/>
          <w:kern w:val="0"/>
          <w:sz w:val="32"/>
          <w:szCs w:val="32"/>
        </w:rPr>
        <w:t>GB16297-1996</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2</w:t>
      </w:r>
      <w:r>
        <w:rPr>
          <w:rFonts w:ascii="仿宋_GB2312" w:hAnsi="Times New Roman" w:eastAsia="仿宋_GB2312"/>
          <w:color w:val="000000"/>
          <w:kern w:val="0"/>
          <w:sz w:val="32"/>
          <w:szCs w:val="32"/>
        </w:rPr>
        <w:t>中无组织排放监控浓度限值，硫化氢、氨、臭气浓度执行《恶臭污染物排放标准》（</w:t>
      </w:r>
      <w:r>
        <w:rPr>
          <w:rFonts w:ascii="Times New Roman" w:hAnsi="Times New Roman" w:eastAsia="仿宋_GB2312"/>
          <w:color w:val="000000"/>
          <w:kern w:val="0"/>
          <w:sz w:val="32"/>
          <w:szCs w:val="32"/>
        </w:rPr>
        <w:t>GB14554-93</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1</w:t>
      </w:r>
      <w:r>
        <w:rPr>
          <w:rFonts w:ascii="仿宋_GB2312" w:hAnsi="Times New Roman" w:eastAsia="仿宋_GB2312"/>
          <w:color w:val="000000"/>
          <w:kern w:val="0"/>
          <w:sz w:val="32"/>
          <w:szCs w:val="32"/>
        </w:rPr>
        <w:t>二级标准。</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项目施工期应合理设置围挡，对施工</w:t>
      </w:r>
      <w:r>
        <w:rPr>
          <w:rFonts w:ascii="仿宋_GB2312" w:hAnsi="Times New Roman" w:eastAsia="仿宋_GB2312"/>
          <w:bCs/>
          <w:sz w:val="32"/>
          <w:szCs w:val="32"/>
        </w:rPr>
        <w:t>场地和道路适时</w:t>
      </w:r>
      <w:r>
        <w:rPr>
          <w:rFonts w:ascii="仿宋_GB2312" w:hAnsi="Times New Roman" w:eastAsia="仿宋_GB2312"/>
          <w:sz w:val="32"/>
          <w:szCs w:val="32"/>
        </w:rPr>
        <w:t>洒水降尘，</w:t>
      </w:r>
      <w:r>
        <w:rPr>
          <w:rFonts w:ascii="仿宋_GB2312" w:hAnsi="Times New Roman" w:eastAsia="仿宋_GB2312"/>
          <w:bCs/>
          <w:sz w:val="32"/>
          <w:szCs w:val="32"/>
        </w:rPr>
        <w:t>对易起尘的物料封闭堆存及运输</w:t>
      </w:r>
      <w:r>
        <w:rPr>
          <w:rFonts w:ascii="仿宋_GB2312" w:hAnsi="Times New Roman" w:eastAsia="仿宋_GB2312"/>
          <w:sz w:val="32"/>
          <w:szCs w:val="32"/>
        </w:rPr>
        <w:t>，加强运输车辆管理，保持进出场道路路面清洁等有效的防治扬尘的措施，施工扬尘执行《大气污染物综合排放标准》（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）中无组织排放监控浓度限值标准要求。</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项目运营期产生噪声的设备及场所应采取隔声降噪措施，加强车辆进出管理，项目厂界噪声执行《工业企业厂界环境噪声排放标准》（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）中</w:t>
      </w:r>
      <w:r>
        <w:rPr>
          <w:rFonts w:ascii="Times New Roman" w:hAnsi="Times New Roman" w:eastAsia="仿宋_GB2312"/>
          <w:sz w:val="32"/>
          <w:szCs w:val="32"/>
        </w:rPr>
        <w:t>2</w:t>
      </w:r>
      <w:r>
        <w:rPr>
          <w:rFonts w:ascii="仿宋_GB2312" w:hAnsi="Times New Roman" w:eastAsia="仿宋_GB2312"/>
          <w:sz w:val="32"/>
          <w:szCs w:val="32"/>
        </w:rPr>
        <w:t>类标准。</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项目施工期应合理安排施工工序及施工时间，加强设备的维修保养，优化施工工艺，合理安排施工时间，禁止夜间施工，严格执行《建筑施工噪声排放标准》（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idowControl/>
        <w:spacing w:line="540" w:lineRule="exact"/>
        <w:ind w:firstLine="640" w:firstLineChars="200"/>
        <w:jc w:val="left"/>
        <w:rPr>
          <w:rFonts w:ascii="Times New Roman" w:hAnsi="Times New Roman" w:eastAsia="仿宋_GB2312"/>
          <w:color w:val="000000"/>
          <w:spacing w:val="-10"/>
          <w:sz w:val="32"/>
          <w:szCs w:val="32"/>
        </w:rPr>
      </w:pPr>
      <w:r>
        <w:rPr>
          <w:rFonts w:ascii="仿宋_GB2312" w:hAnsi="Times New Roman" w:eastAsia="仿宋_GB2312"/>
          <w:color w:val="000000"/>
          <w:sz w:val="32"/>
          <w:szCs w:val="32"/>
        </w:rPr>
        <w:t>项</w:t>
      </w:r>
      <w:r>
        <w:rPr>
          <w:rFonts w:ascii="仿宋_GB2312" w:hAnsi="Times New Roman" w:eastAsia="仿宋_GB2312"/>
          <w:color w:val="000000"/>
          <w:spacing w:val="-10"/>
          <w:sz w:val="32"/>
          <w:szCs w:val="32"/>
        </w:rPr>
        <w:t>目运营期生活垃圾、污泥委托环卫部门及时清运处置；</w:t>
      </w:r>
      <w:r>
        <w:rPr>
          <w:rFonts w:ascii="仿宋_GB2312" w:hAnsi="Times New Roman" w:eastAsia="仿宋_GB2312"/>
          <w:color w:val="000000"/>
          <w:spacing w:val="-10"/>
          <w:kern w:val="0"/>
          <w:sz w:val="32"/>
          <w:szCs w:val="32"/>
        </w:rPr>
        <w:t>废活性炭（纯水制备）、反渗透膜由厂家负责更换后全部由厂家回收处置；废包装物、塑料袋集中收集后能回收利用的回收利用，不能回收利用的委托有处置能力的单位清运处置；检验室废液及沾染化学品的废包装物、废机油、废活性炭等</w:t>
      </w:r>
      <w:r>
        <w:rPr>
          <w:rFonts w:ascii="仿宋_GB2312" w:hAnsi="Times New Roman" w:eastAsia="仿宋_GB2312"/>
          <w:color w:val="000000"/>
          <w:spacing w:val="-10"/>
          <w:sz w:val="32"/>
          <w:szCs w:val="32"/>
        </w:rPr>
        <w:t>危险废物统一收集后分类暂存于危险废物暂存间，委托有资质的单位清运处置，严格执行《危险废物贮存污染控制标准》（</w:t>
      </w:r>
      <w:r>
        <w:rPr>
          <w:rFonts w:ascii="Times New Roman" w:hAnsi="Times New Roman" w:eastAsia="仿宋_GB2312"/>
          <w:color w:val="000000"/>
          <w:spacing w:val="-10"/>
          <w:sz w:val="32"/>
          <w:szCs w:val="32"/>
        </w:rPr>
        <w:t>GB18597-2023</w:t>
      </w:r>
      <w:r>
        <w:rPr>
          <w:rFonts w:ascii="仿宋_GB2312" w:hAnsi="Times New Roman" w:eastAsia="仿宋_GB2312"/>
          <w:color w:val="000000"/>
          <w:spacing w:val="-10"/>
          <w:sz w:val="32"/>
          <w:szCs w:val="32"/>
        </w:rPr>
        <w:t>）、《危险废物收集贮存运输技术规范》（</w:t>
      </w:r>
      <w:r>
        <w:rPr>
          <w:rFonts w:ascii="Times New Roman" w:hAnsi="Times New Roman" w:eastAsia="仿宋_GB2312"/>
          <w:color w:val="000000"/>
          <w:spacing w:val="-10"/>
          <w:sz w:val="32"/>
          <w:szCs w:val="32"/>
        </w:rPr>
        <w:t>HJ2025-2012</w:t>
      </w:r>
      <w:r>
        <w:rPr>
          <w:rFonts w:ascii="仿宋_GB2312" w:hAnsi="Times New Roman" w:eastAsia="仿宋_GB2312"/>
          <w:color w:val="000000"/>
          <w:spacing w:val="-10"/>
          <w:sz w:val="32"/>
          <w:szCs w:val="32"/>
        </w:rPr>
        <w:t>）。</w:t>
      </w:r>
    </w:p>
    <w:p>
      <w:pPr>
        <w:autoSpaceDE w:val="0"/>
        <w:snapToGrid w:val="0"/>
        <w:spacing w:line="54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项目施工期土石方全部回填，不外排</w:t>
      </w:r>
      <w:r>
        <w:rPr>
          <w:rFonts w:ascii="仿宋_GB2312" w:hAnsi="Times New Roman" w:eastAsia="仿宋_GB2312"/>
          <w:color w:val="000000"/>
          <w:sz w:val="32"/>
          <w:szCs w:val="32"/>
        </w:rPr>
        <w:t>；生活垃圾委托环卫部门清运处置；建筑垃圾分类回收利用，不能回收的部分委托有资质的单位进行处置。</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加强地下水和土壤污染防治。严格落实厂区分区防渗措施，防渗工程须委托有资质的监理单位开展施工监理，确保防渗工程符合相关要求，防渗工程应在监理部门的监理下进行，对防渗工程进行施工现场监理、录像、记录并存档。</w:t>
      </w:r>
    </w:p>
    <w:p>
      <w:pPr>
        <w:spacing w:line="54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（六）做好环境风险应急管理工作。严格执行《报告表》中环境风险评价中的各项防范措施，并设置事故水池。编制突发环境事件应急预案，并报市生态环境局安宁分局备案。开展必要的应急培训、宣传和演练。</w:t>
      </w:r>
    </w:p>
    <w:p>
      <w:pPr>
        <w:widowControl/>
        <w:spacing w:line="54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（七）项目污染物总量控制指标：颗粒物</w:t>
      </w:r>
      <w:r>
        <w:rPr>
          <w:rFonts w:ascii="Times New Roman" w:hAnsi="Times New Roman" w:eastAsia="仿宋_GB2312"/>
          <w:sz w:val="32"/>
          <w:szCs w:val="32"/>
        </w:rPr>
        <w:t>0.058t/a</w:t>
      </w:r>
      <w:r>
        <w:rPr>
          <w:rFonts w:ascii="仿宋_GB2312" w:hAnsi="Times New Roman" w:eastAsia="仿宋_GB2312"/>
          <w:sz w:val="32"/>
          <w:szCs w:val="32"/>
        </w:rPr>
        <w:t>、</w:t>
      </w:r>
      <w:r>
        <w:rPr>
          <w:rFonts w:ascii="Times New Roman" w:hAnsi="Times New Roman" w:eastAsia="仿宋_GB2312"/>
          <w:sz w:val="32"/>
          <w:szCs w:val="32"/>
        </w:rPr>
        <w:t>SO</w:t>
      </w:r>
      <w:r>
        <w:rPr>
          <w:rFonts w:ascii="Times New Roman" w:hAnsi="Times New Roman" w:eastAsia="仿宋_GB2312"/>
          <w:sz w:val="32"/>
          <w:szCs w:val="32"/>
          <w:vertAlign w:val="subscript"/>
        </w:rPr>
        <w:t>2</w:t>
      </w:r>
      <w:r>
        <w:rPr>
          <w:rFonts w:ascii="Times New Roman" w:hAnsi="Times New Roman" w:eastAsia="仿宋_GB2312"/>
          <w:sz w:val="32"/>
          <w:szCs w:val="32"/>
        </w:rPr>
        <w:t>0.041t/a</w:t>
      </w:r>
      <w:r>
        <w:rPr>
          <w:rFonts w:ascii="仿宋_GB2312" w:hAnsi="Times New Roman" w:eastAsia="仿宋_GB2312"/>
          <w:sz w:val="32"/>
          <w:szCs w:val="32"/>
        </w:rPr>
        <w:t>、</w:t>
      </w:r>
      <w:r>
        <w:rPr>
          <w:rFonts w:ascii="Times New Roman" w:hAnsi="Times New Roman" w:eastAsia="仿宋_GB2312"/>
          <w:sz w:val="32"/>
          <w:szCs w:val="32"/>
        </w:rPr>
        <w:t>NOx0.189t/a</w:t>
      </w:r>
      <w:r>
        <w:rPr>
          <w:rFonts w:ascii="仿宋_GB2312" w:hAnsi="Times New Roman" w:eastAsia="仿宋_GB2312"/>
          <w:sz w:val="32"/>
          <w:szCs w:val="32"/>
        </w:rPr>
        <w:t>、非甲烷总烃</w:t>
      </w:r>
      <w:r>
        <w:rPr>
          <w:rFonts w:ascii="Times New Roman" w:hAnsi="Times New Roman" w:eastAsia="仿宋_GB2312"/>
          <w:sz w:val="32"/>
          <w:szCs w:val="32"/>
        </w:rPr>
        <w:t>0.019t/a</w:t>
      </w:r>
      <w:r>
        <w:rPr>
          <w:rFonts w:ascii="仿宋_GB2312" w:hAnsi="Times New Roman" w:eastAsia="仿宋_GB2312"/>
          <w:sz w:val="32"/>
          <w:szCs w:val="32"/>
        </w:rPr>
        <w:t>。</w:t>
      </w:r>
      <w:r>
        <w:rPr>
          <w:rFonts w:ascii="仿宋_GB2312" w:hAnsi="Times New Roman" w:eastAsia="仿宋_GB2312"/>
          <w:color w:val="000000"/>
          <w:kern w:val="0"/>
          <w:sz w:val="32"/>
          <w:szCs w:val="32"/>
        </w:rPr>
        <w:t>氮氧化物总量指标来源于武钢集团昆明钢铁股份有限公司推进供给侧结构性改革实施环保搬迁转型升级项目。</w:t>
      </w:r>
      <w:r>
        <w:rPr>
          <w:rFonts w:ascii="Times New Roman" w:hAnsi="Times New Roman" w:eastAsia="仿宋_GB2312"/>
          <w:color w:val="000000"/>
          <w:kern w:val="0"/>
          <w:sz w:val="32"/>
          <w:szCs w:val="32"/>
        </w:rPr>
        <w:t xml:space="preserve"> </w:t>
      </w:r>
    </w:p>
    <w:p>
      <w:pPr>
        <w:widowControl/>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（八）按照《排污许可管理条例》相关规定，在项目启动生产设施或发生实际排污前，依法完成登记管理相关工作。</w:t>
      </w:r>
    </w:p>
    <w:p>
      <w:pPr>
        <w:spacing w:before="100" w:beforeAutospacing="1" w:line="540" w:lineRule="exact"/>
        <w:ind w:firstLine="640" w:firstLineChars="200"/>
        <w:rPr>
          <w:rFonts w:ascii="Times New Roman" w:hAnsi="Times New Roman" w:eastAsia="仿宋_GB2312"/>
          <w:strike/>
          <w:sz w:val="32"/>
          <w:szCs w:val="32"/>
        </w:rPr>
      </w:pPr>
      <w:r>
        <w:rPr>
          <w:rFonts w:ascii="仿宋_GB2312" w:hAnsi="Times New Roman" w:eastAsia="仿宋_GB2312"/>
          <w:sz w:val="32"/>
          <w:szCs w:val="32"/>
        </w:rPr>
        <w:t>（九）认真组织实施《报告表》提出的环境监测计划，定期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pacing w:line="54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三、</w:t>
      </w:r>
      <w:r>
        <w:rPr>
          <w:rFonts w:ascii="仿宋_GB2312" w:hAnsi="Times New Roman" w:eastAsia="仿宋_GB2312"/>
          <w:sz w:val="32"/>
          <w:szCs w:val="32"/>
        </w:rPr>
        <w:t>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pacing w:line="540" w:lineRule="exact"/>
        <w:ind w:firstLine="640" w:firstLineChars="200"/>
        <w:rPr>
          <w:rFonts w:ascii="Times New Roman" w:hAnsi="Times New Roman" w:eastAsia="仿宋_GB2312"/>
          <w:bCs/>
          <w:spacing w:val="-10"/>
          <w:sz w:val="32"/>
          <w:szCs w:val="32"/>
        </w:rPr>
      </w:pPr>
      <w:r>
        <w:rPr>
          <w:rFonts w:ascii="仿宋_GB2312" w:hAnsi="Times New Roman" w:eastAsia="仿宋_GB2312"/>
          <w:bCs/>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bCs/>
          <w:spacing w:val="-10"/>
          <w:sz w:val="32"/>
          <w:szCs w:val="32"/>
        </w:rPr>
        <w:t>定该项目开工建设的，环境影响评价文件应当报我局重新审核。</w:t>
      </w:r>
    </w:p>
    <w:p>
      <w:pPr>
        <w:spacing w:line="54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五、你公司应按规定接受各级生态环境主管部门的监督检查。请市生态环境安宁分局负责项目环境现场执法和日常监督管理。请市生态环境保护综合行政执法支队加强监督检查。</w:t>
      </w:r>
    </w:p>
    <w:p>
      <w:pPr>
        <w:spacing w:line="540" w:lineRule="exact"/>
        <w:ind w:left="640"/>
        <w:rPr>
          <w:rFonts w:ascii="Times New Roman" w:hAnsi="Times New Roman" w:eastAsia="仿宋_GB2312"/>
          <w:bCs/>
          <w:sz w:val="32"/>
          <w:szCs w:val="32"/>
        </w:rPr>
      </w:pPr>
      <w:r>
        <w:rPr>
          <w:rFonts w:hint="eastAsia" w:ascii="仿宋_GB2312" w:hAnsi="Times New Roman" w:eastAsia="仿宋_GB2312"/>
          <w:bCs/>
          <w:sz w:val="32"/>
          <w:szCs w:val="32"/>
        </w:rPr>
        <w:t>六、</w:t>
      </w:r>
      <w:r>
        <w:rPr>
          <w:rFonts w:ascii="仿宋_GB2312" w:hAnsi="Times New Roman" w:eastAsia="仿宋_GB2312"/>
          <w:bCs/>
          <w:sz w:val="32"/>
          <w:szCs w:val="32"/>
        </w:rPr>
        <w:t>依法到其他部门办理相关手续。</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p>
    <w:p>
      <w:pPr>
        <w:spacing w:line="560" w:lineRule="exact"/>
        <w:jc w:val="right"/>
        <w:rPr>
          <w:rFonts w:hint="eastAsia" w:ascii="Times New Roman" w:hAnsi="Times New Roman"/>
          <w:szCs w:val="21"/>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仿宋_GB2312"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13</w:t>
      </w:r>
      <w:r>
        <w:rPr>
          <w:rFonts w:ascii="仿宋_GB2312" w:hAnsi="Times New Roman" w:eastAsia="仿宋_GB2312"/>
          <w:sz w:val="32"/>
          <w:szCs w:val="32"/>
        </w:rPr>
        <w:t>日</w:t>
      </w: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p>
    <w:p>
      <w:pPr>
        <w:suppressAutoHyphens/>
        <w:adjustRightInd w:val="0"/>
        <w:spacing w:line="560" w:lineRule="exact"/>
        <w:ind w:firstLine="640" w:firstLineChars="200"/>
        <w:jc w:val="center"/>
        <w:rPr>
          <w:rFonts w:hint="eastAsia" w:ascii="仿宋_GB2312" w:hAnsi="Times New Roman" w:eastAsia="仿宋_GB2312"/>
          <w:sz w:val="32"/>
          <w:szCs w:val="32"/>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Times New Roman" w:hAnsi="Times New Roman" w:eastAsia="仿宋_GB2312"/>
          <w:sz w:val="28"/>
          <w:szCs w:val="28"/>
        </w:rPr>
        <w:t>云南</w:t>
      </w:r>
      <w:r>
        <w:rPr>
          <w:rFonts w:ascii="Times New Roman" w:hAnsi="Times New Roman" w:eastAsia="仿宋_GB2312"/>
          <w:sz w:val="28"/>
          <w:szCs w:val="28"/>
        </w:rPr>
        <w:t>省生态环境厅。市生态环境局安宁分局，局机关各处室、各直属单位。云南卓清环保科技有限公司。</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lang/>
      </w:rPr>
      <w:t>- 6 -</w:t>
    </w:r>
    <w:r>
      <w:rPr>
        <w:rStyle w:val="12"/>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2FF"/>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36CE"/>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2CD6"/>
    <w:rsid w:val="003D2CF8"/>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B"/>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4BC5"/>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0CC"/>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2AB6"/>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33E6"/>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1D81"/>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26"/>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97C16"/>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2ABB"/>
    <w:rsid w:val="009D5F6D"/>
    <w:rsid w:val="009D7702"/>
    <w:rsid w:val="009E0432"/>
    <w:rsid w:val="009E2815"/>
    <w:rsid w:val="009E2F33"/>
    <w:rsid w:val="009E5568"/>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2D8C"/>
    <w:rsid w:val="00B23687"/>
    <w:rsid w:val="00B244D5"/>
    <w:rsid w:val="00B25FD2"/>
    <w:rsid w:val="00B30A36"/>
    <w:rsid w:val="00B3158F"/>
    <w:rsid w:val="00B32C44"/>
    <w:rsid w:val="00B33873"/>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560"/>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5E5C"/>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8A2448"/>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4691F"/>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2A6C"/>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rPr>
      <w:szCs w:val="21"/>
    </w:rPr>
  </w:style>
  <w:style w:type="paragraph" w:styleId="3">
    <w:name w:val="Plain Text"/>
    <w:basedOn w:val="1"/>
    <w:link w:val="13"/>
    <w:uiPriority w:val="0"/>
    <w:rPr>
      <w:rFonts w:ascii="宋体" w:hAnsi="Courier New"/>
      <w:szCs w:val="20"/>
    </w:rPr>
  </w:style>
  <w:style w:type="paragraph" w:styleId="4">
    <w:name w:val="Date"/>
    <w:basedOn w:val="1"/>
    <w:next w:val="1"/>
    <w:link w:val="14"/>
    <w:unhideWhenUsed/>
    <w:uiPriority w:val="99"/>
    <w:pPr>
      <w:ind w:left="100" w:leftChars="2500"/>
    </w:pPr>
  </w:style>
  <w:style w:type="paragraph" w:styleId="5">
    <w:name w:val="Body Text Indent 2"/>
    <w:basedOn w:val="1"/>
    <w:link w:val="15"/>
    <w:uiPriority w:val="0"/>
    <w:pPr>
      <w:spacing w:after="120" w:line="480" w:lineRule="auto"/>
      <w:ind w:left="420" w:leftChars="200"/>
    </w:pPr>
    <w:rPr>
      <w:rFonts w:ascii="Times New Roman" w:hAnsi="Times New Roman"/>
      <w:szCs w:val="21"/>
    </w:rPr>
  </w:style>
  <w:style w:type="paragraph" w:styleId="6">
    <w:name w:val="footer"/>
    <w:basedOn w:val="1"/>
    <w:link w:val="16"/>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unhideWhenUsed/>
    <w:uiPriority w:val="99"/>
    <w:pPr>
      <w:widowControl w:val="0"/>
      <w:jc w:val="both"/>
    </w:pPr>
    <w:rPr>
      <w:rFonts w:ascii="Times New Roman" w:hAnsi="Times New Roman" w:eastAsia="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Calibri" w:hAnsi="Calibri" w:eastAsia="宋体" w:cs="Times New Roman"/>
    </w:rPr>
  </w:style>
  <w:style w:type="character" w:customStyle="1" w:styleId="13">
    <w:name w:val="纯文本 Char1"/>
    <w:basedOn w:val="11"/>
    <w:link w:val="3"/>
    <w:semiHidden/>
    <w:uiPriority w:val="99"/>
    <w:rPr>
      <w:rFonts w:ascii="宋体" w:hAnsi="Courier New" w:eastAsia="宋体" w:cs="Times New Roman"/>
      <w:szCs w:val="20"/>
    </w:rPr>
  </w:style>
  <w:style w:type="character" w:customStyle="1" w:styleId="14">
    <w:name w:val="日期 Char"/>
    <w:basedOn w:val="11"/>
    <w:link w:val="4"/>
    <w:semiHidden/>
    <w:uiPriority w:val="99"/>
    <w:rPr>
      <w:rFonts w:ascii="Calibri" w:hAnsi="Calibri" w:eastAsia="宋体" w:cs="Times New Roman"/>
    </w:rPr>
  </w:style>
  <w:style w:type="character" w:customStyle="1" w:styleId="15">
    <w:name w:val="正文文本缩进 2 Char"/>
    <w:basedOn w:val="11"/>
    <w:link w:val="5"/>
    <w:uiPriority w:val="0"/>
    <w:rPr>
      <w:rFonts w:ascii="Times New Roman" w:hAnsi="Times New Roman" w:eastAsia="宋体" w:cs="Times New Roman"/>
      <w:szCs w:val="21"/>
    </w:rPr>
  </w:style>
  <w:style w:type="character" w:customStyle="1" w:styleId="16">
    <w:name w:val="页脚 Char"/>
    <w:basedOn w:val="11"/>
    <w:link w:val="6"/>
    <w:uiPriority w:val="0"/>
    <w:rPr>
      <w:rFonts w:ascii="Times New Roman" w:hAnsi="Times New Roman" w:eastAsia="宋体" w:cs="Times New Roman"/>
      <w:sz w:val="18"/>
      <w:szCs w:val="18"/>
    </w:rPr>
  </w:style>
  <w:style w:type="character" w:customStyle="1" w:styleId="17">
    <w:name w:val="页眉 Char"/>
    <w:basedOn w:val="11"/>
    <w:link w:val="7"/>
    <w:semiHidden/>
    <w:uiPriority w:val="99"/>
    <w:rPr>
      <w:rFonts w:ascii="Calibri" w:hAnsi="Calibri" w:eastAsia="宋体" w:cs="Times New Roman"/>
      <w:sz w:val="18"/>
      <w:szCs w:val="18"/>
    </w:rPr>
  </w:style>
  <w:style w:type="character" w:customStyle="1" w:styleId="18">
    <w:name w:val="纯文本 Char"/>
    <w:uiPriority w:val="0"/>
    <w:rPr>
      <w:rFonts w:ascii="宋体" w:hAnsi="Courier New" w:eastAsia="宋体" w:cs="Times New Roman"/>
      <w:kern w:val="2"/>
      <w:sz w:val="21"/>
    </w:rPr>
  </w:style>
  <w:style w:type="paragraph" w:customStyle="1" w:styleId="19">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20">
    <w:name w:val="批注文字 Char"/>
    <w:basedOn w:val="11"/>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2026-02-13T03:24:00Z</dcterms:created>
  <dc:creator>李敏</dc:creator>
  <cp:lastModifiedBy>李敏</cp:lastModifiedBy>
  <dcterms:modified xsi:type="dcterms:W3CDTF">2026-02-13T06:39:49Z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