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昆生环复〔2026〕1</w:t>
      </w:r>
      <w:r>
        <w:rPr>
          <w:rFonts w:hint="eastAsia" w:ascii="Times New Roman" w:hAnsi="Times New Roman" w:eastAsia="仿宋_GB2312"/>
          <w:color w:val="000000"/>
          <w:sz w:val="32"/>
        </w:rPr>
        <w:t>1</w:t>
      </w:r>
      <w:r>
        <w:rPr>
          <w:rFonts w:ascii="Times New Roman" w:hAnsi="Times New Roman" w:eastAsia="仿宋_GB2312"/>
          <w:color w:val="000000"/>
          <w:sz w:val="32"/>
        </w:rPr>
        <w:t>-</w:t>
      </w:r>
      <w:r>
        <w:rPr>
          <w:rFonts w:hint="eastAsia" w:ascii="Times New Roman" w:hAnsi="Times New Roman" w:eastAsia="仿宋_GB2312"/>
          <w:color w:val="000000"/>
          <w:sz w:val="32"/>
        </w:rPr>
        <w:t>5</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rPr>
          <w:rFonts w:ascii="Times New Roman" w:hAnsi="Times New Roman"/>
          <w:sz w:val="32"/>
          <w:szCs w:val="32"/>
        </w:rPr>
      </w:pPr>
    </w:p>
    <w:p>
      <w:pPr>
        <w:autoSpaceDE w:val="0"/>
        <w:spacing w:line="700" w:lineRule="exact"/>
        <w:jc w:val="center"/>
        <w:rPr>
          <w:rFonts w:ascii="Times New Roman" w:hAnsi="Times New Roman" w:eastAsia="仿宋_GB2312"/>
          <w:sz w:val="32"/>
          <w:szCs w:val="32"/>
        </w:rPr>
      </w:pPr>
      <w:r>
        <w:rPr>
          <w:rFonts w:ascii="方正小标宋简体" w:hAnsi="方正小标宋简体" w:eastAsia="方正小标宋简体"/>
          <w:sz w:val="44"/>
          <w:szCs w:val="44"/>
        </w:rPr>
        <w:t>昆明市生态环境局关于《寻甸福兴宏盛土石方工程有限公司</w:t>
      </w:r>
      <w:r>
        <w:rPr>
          <w:rFonts w:ascii="Times New Roman" w:hAnsi="Times New Roman" w:eastAsia="方正小标宋简体"/>
          <w:sz w:val="44"/>
          <w:szCs w:val="44"/>
        </w:rPr>
        <w:t>10</w:t>
      </w:r>
      <w:r>
        <w:rPr>
          <w:rFonts w:ascii="方正小标宋简体" w:hAnsi="方正小标宋简体" w:eastAsia="方正小标宋简体"/>
          <w:sz w:val="44"/>
          <w:szCs w:val="44"/>
        </w:rPr>
        <w:t>万吨</w:t>
      </w:r>
      <w:r>
        <w:rPr>
          <w:rFonts w:hint="eastAsia" w:ascii="Times New Roman" w:hAnsi="Times New Roman" w:eastAsia="方正小标宋简体"/>
          <w:sz w:val="44"/>
          <w:szCs w:val="44"/>
        </w:rPr>
        <w:t>/</w:t>
      </w:r>
      <w:r>
        <w:rPr>
          <w:rFonts w:ascii="方正小标宋简体" w:hAnsi="方正小标宋简体" w:eastAsia="方正小标宋简体"/>
          <w:sz w:val="44"/>
          <w:szCs w:val="44"/>
        </w:rPr>
        <w:t>年沥青混凝土搅拌站建设项目环境影响报告表》的批复</w:t>
      </w:r>
    </w:p>
    <w:p>
      <w:pPr>
        <w:autoSpaceDE w:val="0"/>
        <w:spacing w:line="7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autoSpaceDE w:val="0"/>
        <w:spacing w:line="560" w:lineRule="exact"/>
        <w:rPr>
          <w:rFonts w:ascii="Times New Roman" w:hAnsi="Times New Roman" w:eastAsia="仿宋_GB2312"/>
          <w:sz w:val="32"/>
          <w:szCs w:val="32"/>
        </w:rPr>
      </w:pPr>
      <w:r>
        <w:rPr>
          <w:rFonts w:ascii="仿宋_GB2312" w:hAnsi="Times New Roman" w:eastAsia="仿宋_GB2312"/>
          <w:sz w:val="32"/>
          <w:szCs w:val="32"/>
        </w:rPr>
        <w:t>寻甸福兴宏盛土石方工程有限公司：</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你单位委托云南清蓝源环保科技有限公司编制的《寻甸福兴宏盛土石方工程有限公司</w:t>
      </w:r>
      <w:r>
        <w:rPr>
          <w:rFonts w:ascii="Times New Roman" w:hAnsi="Times New Roman" w:eastAsia="仿宋_GB2312"/>
          <w:sz w:val="32"/>
          <w:szCs w:val="32"/>
        </w:rPr>
        <w:t>10</w:t>
      </w:r>
      <w:r>
        <w:rPr>
          <w:rFonts w:ascii="仿宋_GB2312" w:hAnsi="Times New Roman" w:eastAsia="仿宋_GB2312"/>
          <w:sz w:val="32"/>
          <w:szCs w:val="32"/>
        </w:rPr>
        <w:t>万吨</w:t>
      </w:r>
      <w:r>
        <w:rPr>
          <w:rFonts w:hint="eastAsia" w:ascii="Times New Roman" w:hAnsi="Times New Roman" w:eastAsia="仿宋_GB2312"/>
          <w:sz w:val="32"/>
          <w:szCs w:val="32"/>
        </w:rPr>
        <w:t>/</w:t>
      </w:r>
      <w:r>
        <w:rPr>
          <w:rFonts w:ascii="仿宋_GB2312" w:hAnsi="Times New Roman" w:eastAsia="仿宋_GB2312"/>
          <w:sz w:val="32"/>
          <w:szCs w:val="32"/>
        </w:rPr>
        <w:t>年沥青混凝土搅拌站建设项目环境影响报告表》（以下简称《报告表》，项目代码：</w:t>
      </w:r>
      <w:r>
        <w:rPr>
          <w:rFonts w:ascii="Times New Roman" w:hAnsi="Times New Roman" w:eastAsia="仿宋_GB2312"/>
          <w:sz w:val="32"/>
          <w:szCs w:val="32"/>
        </w:rPr>
        <w:t>2504-530129-04-01-528969</w:t>
      </w:r>
      <w:r>
        <w:rPr>
          <w:rFonts w:ascii="仿宋_GB2312" w:hAnsi="Times New Roman" w:eastAsia="仿宋_GB2312"/>
          <w:sz w:val="32"/>
          <w:szCs w:val="32"/>
        </w:rPr>
        <w:t>）</w:t>
      </w:r>
      <w:r>
        <w:rPr>
          <w:rFonts w:ascii="仿宋_GB2312" w:hAnsi="Times New Roman" w:eastAsia="仿宋_GB2312"/>
          <w:color w:val="000000"/>
          <w:kern w:val="0"/>
          <w:sz w:val="32"/>
          <w:szCs w:val="32"/>
        </w:rPr>
        <w:t>收悉</w:t>
      </w:r>
      <w:r>
        <w:rPr>
          <w:rFonts w:ascii="仿宋_GB2312" w:hAnsi="Times New Roman" w:eastAsia="仿宋_GB2312"/>
          <w:sz w:val="32"/>
          <w:szCs w:val="32"/>
        </w:rPr>
        <w:t>。根据《中华人民共和国环境影响评价法》第二十二条、《建设项目环境保护管理条例》第九条，经研究，批复如下：</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w:t>
      </w:r>
      <w:r>
        <w:rPr>
          <w:rFonts w:hint="eastAsia" w:ascii="仿宋_GB2312" w:hAnsi="Times New Roman" w:eastAsia="仿宋_GB2312"/>
          <w:sz w:val="32"/>
          <w:szCs w:val="32"/>
        </w:rPr>
        <w:t>项目建设地点位于昆明市寻甸县仁德街道道院社区大发古村石头山，</w:t>
      </w:r>
      <w:r>
        <w:rPr>
          <w:rFonts w:ascii="仿宋_GB2312" w:hAnsi="Times New Roman" w:eastAsia="仿宋_GB2312"/>
          <w:sz w:val="32"/>
          <w:szCs w:val="32"/>
        </w:rPr>
        <w:t>租用云南龙泉矿业开发有限公司</w:t>
      </w:r>
      <w:r>
        <w:rPr>
          <w:rFonts w:hint="eastAsia" w:ascii="仿宋_GB2312" w:hAnsi="Times New Roman" w:eastAsia="仿宋_GB2312"/>
          <w:sz w:val="32"/>
          <w:szCs w:val="32"/>
        </w:rPr>
        <w:t>采石场</w:t>
      </w:r>
      <w:r>
        <w:rPr>
          <w:rFonts w:ascii="仿宋_GB2312" w:hAnsi="Times New Roman" w:eastAsia="仿宋_GB2312"/>
          <w:sz w:val="32"/>
          <w:szCs w:val="32"/>
        </w:rPr>
        <w:t>用地范围内的空地建设，不新增占地。项目占地面积</w:t>
      </w:r>
      <w:r>
        <w:rPr>
          <w:rFonts w:ascii="Times New Roman" w:hAnsi="Times New Roman" w:eastAsia="仿宋_GB2312"/>
          <w:sz w:val="32"/>
          <w:szCs w:val="32"/>
        </w:rPr>
        <w:t>1500</w:t>
      </w:r>
      <w:r>
        <w:rPr>
          <w:rFonts w:hint="eastAsia" w:ascii="Times New Roman" w:hAnsi="Times New Roman" w:eastAsia="仿宋_GB2312"/>
          <w:sz w:val="32"/>
          <w:szCs w:val="32"/>
        </w:rPr>
        <w:t>m</w:t>
      </w:r>
      <w:r>
        <w:rPr>
          <w:rFonts w:hint="eastAsia" w:ascii="Times New Roman" w:hAnsi="Times New Roman" w:eastAsia="仿宋_GB2312"/>
          <w:sz w:val="32"/>
          <w:szCs w:val="32"/>
          <w:vertAlign w:val="superscript"/>
        </w:rPr>
        <w:t>2</w:t>
      </w:r>
      <w:r>
        <w:rPr>
          <w:rFonts w:ascii="仿宋_GB2312" w:hAnsi="Times New Roman" w:eastAsia="仿宋_GB2312"/>
          <w:sz w:val="32"/>
          <w:szCs w:val="32"/>
        </w:rPr>
        <w:t>，建筑面积</w:t>
      </w:r>
      <w:r>
        <w:rPr>
          <w:rFonts w:ascii="Times New Roman" w:hAnsi="Times New Roman" w:eastAsia="仿宋_GB2312"/>
          <w:sz w:val="32"/>
          <w:szCs w:val="32"/>
        </w:rPr>
        <w:t>942</w:t>
      </w:r>
      <w:r>
        <w:rPr>
          <w:rFonts w:hint="eastAsia" w:ascii="Times New Roman" w:hAnsi="Times New Roman" w:eastAsia="仿宋_GB2312"/>
          <w:sz w:val="32"/>
          <w:szCs w:val="32"/>
        </w:rPr>
        <w:t>m</w:t>
      </w:r>
      <w:r>
        <w:rPr>
          <w:rFonts w:hint="eastAsia" w:ascii="Times New Roman" w:hAnsi="Times New Roman" w:eastAsia="仿宋_GB2312"/>
          <w:sz w:val="32"/>
          <w:szCs w:val="32"/>
          <w:vertAlign w:val="superscript"/>
        </w:rPr>
        <w:t>2</w:t>
      </w:r>
      <w:r>
        <w:rPr>
          <w:rFonts w:ascii="仿宋_GB2312" w:hAnsi="Times New Roman" w:eastAsia="仿宋_GB2312"/>
          <w:sz w:val="32"/>
          <w:szCs w:val="32"/>
        </w:rPr>
        <w:t>，</w:t>
      </w:r>
      <w:r>
        <w:rPr>
          <w:rFonts w:hint="eastAsia" w:ascii="仿宋_GB2312" w:hAnsi="Times New Roman" w:eastAsia="仿宋_GB2312"/>
          <w:sz w:val="32"/>
          <w:szCs w:val="32"/>
        </w:rPr>
        <w:t>主要建设</w:t>
      </w:r>
      <w:r>
        <w:rPr>
          <w:rFonts w:ascii="仿宋_GB2312" w:hAnsi="Times New Roman" w:eastAsia="仿宋_GB2312"/>
          <w:sz w:val="32"/>
          <w:szCs w:val="32"/>
        </w:rPr>
        <w:t>沥青混凝土生产线、砂石料堆场、计量仓、沥青储罐、柴油储罐、矿粉筒仓、皮带输送机</w:t>
      </w:r>
      <w:r>
        <w:rPr>
          <w:rFonts w:hint="eastAsia" w:ascii="仿宋_GB2312" w:hAnsi="Times New Roman" w:eastAsia="仿宋_GB2312"/>
          <w:sz w:val="32"/>
          <w:szCs w:val="32"/>
        </w:rPr>
        <w:t>，配套建设</w:t>
      </w:r>
      <w:r>
        <w:rPr>
          <w:rFonts w:ascii="仿宋_GB2312" w:hAnsi="Times New Roman" w:eastAsia="仿宋_GB2312"/>
          <w:sz w:val="32"/>
          <w:szCs w:val="32"/>
        </w:rPr>
        <w:t>公辅工程</w:t>
      </w:r>
      <w:r>
        <w:rPr>
          <w:rFonts w:hint="eastAsia" w:ascii="仿宋_GB2312" w:hAnsi="Times New Roman" w:eastAsia="仿宋_GB2312"/>
          <w:color w:val="000000"/>
          <w:kern w:val="0"/>
          <w:sz w:val="32"/>
          <w:szCs w:val="32"/>
        </w:rPr>
        <w:t>和环保工程</w:t>
      </w:r>
      <w:r>
        <w:rPr>
          <w:rFonts w:ascii="仿宋_GB2312" w:hAnsi="Times New Roman" w:eastAsia="仿宋_GB2312"/>
          <w:color w:val="000000"/>
          <w:kern w:val="0"/>
          <w:sz w:val="32"/>
          <w:szCs w:val="32"/>
        </w:rPr>
        <w:t>。</w:t>
      </w:r>
      <w:r>
        <w:rPr>
          <w:rFonts w:ascii="仿宋_GB2312" w:hAnsi="Times New Roman" w:eastAsia="仿宋_GB2312"/>
          <w:sz w:val="32"/>
          <w:szCs w:val="32"/>
        </w:rPr>
        <w:t>年产沥青混凝土</w:t>
      </w:r>
      <w:r>
        <w:rPr>
          <w:rFonts w:ascii="Times New Roman" w:hAnsi="Times New Roman" w:eastAsia="仿宋_GB2312"/>
          <w:sz w:val="32"/>
          <w:szCs w:val="32"/>
        </w:rPr>
        <w:t>10</w:t>
      </w:r>
      <w:r>
        <w:rPr>
          <w:rFonts w:ascii="仿宋_GB2312" w:hAnsi="Times New Roman" w:eastAsia="仿宋_GB2312"/>
          <w:sz w:val="32"/>
          <w:szCs w:val="32"/>
        </w:rPr>
        <w:t>万吨</w:t>
      </w:r>
      <w:r>
        <w:rPr>
          <w:rFonts w:ascii="Times New Roman" w:hAnsi="Times New Roman" w:eastAsia="仿宋_GB2312"/>
          <w:sz w:val="32"/>
          <w:szCs w:val="32"/>
        </w:rPr>
        <w:t>/</w:t>
      </w:r>
      <w:r>
        <w:rPr>
          <w:rFonts w:ascii="仿宋_GB2312" w:hAnsi="Times New Roman" w:eastAsia="仿宋_GB2312"/>
          <w:sz w:val="32"/>
          <w:szCs w:val="32"/>
        </w:rPr>
        <w:t>年。</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项目总投资</w:t>
      </w:r>
      <w:r>
        <w:rPr>
          <w:rFonts w:ascii="Times New Roman" w:hAnsi="Times New Roman" w:eastAsia="仿宋_GB2312"/>
          <w:sz w:val="32"/>
          <w:szCs w:val="32"/>
        </w:rPr>
        <w:t>896.17</w:t>
      </w:r>
      <w:r>
        <w:rPr>
          <w:rFonts w:ascii="仿宋_GB2312" w:hAnsi="Times New Roman" w:eastAsia="仿宋_GB2312"/>
          <w:sz w:val="32"/>
          <w:szCs w:val="32"/>
        </w:rPr>
        <w:t>万元，其中环保投资</w:t>
      </w:r>
      <w:r>
        <w:rPr>
          <w:rFonts w:ascii="Times New Roman" w:hAnsi="Times New Roman" w:eastAsia="仿宋_GB2312"/>
          <w:sz w:val="32"/>
          <w:szCs w:val="32"/>
        </w:rPr>
        <w:t>21.3</w:t>
      </w:r>
      <w:r>
        <w:rPr>
          <w:rFonts w:ascii="仿宋_GB2312" w:hAnsi="Times New Roman" w:eastAsia="仿宋_GB2312"/>
          <w:sz w:val="32"/>
          <w:szCs w:val="32"/>
        </w:rPr>
        <w:t>万元。</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项目擅自开工建设，违反了《中华人民共和国环境影响评价法》的有关规定，违法行为</w:t>
      </w:r>
      <w:r>
        <w:rPr>
          <w:rFonts w:hint="eastAsia" w:ascii="仿宋_GB2312" w:hAnsi="Times New Roman" w:eastAsia="仿宋_GB2312"/>
          <w:sz w:val="32"/>
          <w:szCs w:val="32"/>
        </w:rPr>
        <w:t>已由昆明市生态环境局寻甸分局查处</w:t>
      </w:r>
      <w:r>
        <w:rPr>
          <w:rFonts w:ascii="仿宋_GB2312" w:hAnsi="Times New Roman" w:eastAsia="仿宋_GB2312"/>
          <w:sz w:val="32"/>
          <w:szCs w:val="32"/>
        </w:rPr>
        <w:t>。</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根据昆明市生态环境工程评估中心《关于对〈寻甸福兴宏盛土石方工程有限公司</w:t>
      </w:r>
      <w:r>
        <w:rPr>
          <w:rFonts w:ascii="Times New Roman" w:hAnsi="Times New Roman" w:eastAsia="仿宋_GB2312"/>
          <w:sz w:val="32"/>
          <w:szCs w:val="32"/>
        </w:rPr>
        <w:t>10</w:t>
      </w:r>
      <w:r>
        <w:rPr>
          <w:rFonts w:ascii="仿宋_GB2312" w:hAnsi="Times New Roman" w:eastAsia="仿宋_GB2312"/>
          <w:sz w:val="32"/>
          <w:szCs w:val="32"/>
        </w:rPr>
        <w:t>万吨年沥青混凝土搅拌站建设项目环境影响报告表〉的技术评估意见》</w:t>
      </w:r>
      <w:r>
        <w:rPr>
          <w:rFonts w:hint="eastAsia" w:ascii="仿宋_GB2312" w:hAnsi="Times New Roman" w:eastAsia="仿宋_GB2312"/>
          <w:sz w:val="32"/>
          <w:szCs w:val="32"/>
        </w:rPr>
        <w:t>（</w:t>
      </w:r>
      <w:r>
        <w:rPr>
          <w:rFonts w:ascii="仿宋_GB2312" w:hAnsi="Times New Roman" w:eastAsia="仿宋_GB2312"/>
          <w:sz w:val="32"/>
          <w:szCs w:val="32"/>
        </w:rPr>
        <w:t>昆环评估意见〔</w:t>
      </w:r>
      <w:r>
        <w:rPr>
          <w:rFonts w:ascii="Times New Roman" w:hAnsi="Times New Roman" w:eastAsia="仿宋_GB2312"/>
          <w:sz w:val="32"/>
          <w:szCs w:val="32"/>
        </w:rPr>
        <w:t>2026</w:t>
      </w:r>
      <w:r>
        <w:rPr>
          <w:rFonts w:ascii="仿宋_GB2312" w:hAnsi="Times New Roman" w:eastAsia="仿宋_GB2312"/>
          <w:sz w:val="32"/>
          <w:szCs w:val="32"/>
        </w:rPr>
        <w:t>〕</w:t>
      </w:r>
      <w:r>
        <w:rPr>
          <w:rFonts w:ascii="Times New Roman" w:hAnsi="Times New Roman" w:eastAsia="仿宋_GB2312"/>
          <w:sz w:val="32"/>
          <w:szCs w:val="32"/>
        </w:rPr>
        <w:t>11-3</w:t>
      </w:r>
      <w:r>
        <w:rPr>
          <w:rFonts w:ascii="仿宋_GB2312" w:hAnsi="Times New Roman" w:eastAsia="仿宋_GB2312"/>
          <w:sz w:val="32"/>
          <w:szCs w:val="32"/>
        </w:rPr>
        <w:t>号</w:t>
      </w:r>
      <w:r>
        <w:rPr>
          <w:rFonts w:hint="eastAsia" w:ascii="仿宋_GB2312" w:hAnsi="Times New Roman" w:eastAsia="仿宋_GB2312"/>
          <w:sz w:val="32"/>
          <w:szCs w:val="32"/>
        </w:rPr>
        <w:t>）</w:t>
      </w:r>
      <w:r>
        <w:rPr>
          <w:rFonts w:ascii="仿宋_GB2312" w:hAnsi="Times New Roman" w:eastAsia="仿宋_GB2312"/>
          <w:sz w:val="32"/>
          <w:szCs w:val="32"/>
        </w:rPr>
        <w:t>，在全面落实《报告表》提出的各项生态保护和污染防治措施后，项目建设和运营的不良环境影响可以得到缓解和控制，同意项目按《报告表》所述工程内容、规模、功能、环保对策措施进行建设。</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二、项目建设和运营中应重点做好以下工作</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z w:val="32"/>
          <w:szCs w:val="32"/>
        </w:rPr>
        <w:t>的原则建设给排水、污水处理及回用系统，并与区域排水系统相协调。</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项目运营期生活污水依托云南龙泉矿业开发有限公司西南侧办公区化粪池处理后定期委托环卫部门清掏处置；初期雨水经容积不小于</w:t>
      </w:r>
      <w:r>
        <w:rPr>
          <w:rFonts w:ascii="Times New Roman" w:hAnsi="Times New Roman" w:eastAsia="仿宋_GB2312"/>
          <w:sz w:val="32"/>
          <w:szCs w:val="32"/>
        </w:rPr>
        <w:t>20m</w:t>
      </w:r>
      <w:r>
        <w:rPr>
          <w:rFonts w:ascii="Times New Roman" w:hAnsi="Times New Roman" w:eastAsia="仿宋_GB2312"/>
          <w:sz w:val="32"/>
          <w:szCs w:val="32"/>
          <w:vertAlign w:val="superscript"/>
        </w:rPr>
        <w:t>3</w:t>
      </w:r>
      <w:r>
        <w:rPr>
          <w:rFonts w:ascii="仿宋_GB2312" w:hAnsi="Times New Roman" w:eastAsia="仿宋_GB2312"/>
          <w:sz w:val="32"/>
          <w:szCs w:val="32"/>
        </w:rPr>
        <w:t>的初期雨水收集池收集后回用于厂区洒水降尘，不外排；运输车辆清洗废水经</w:t>
      </w:r>
      <w:r>
        <w:rPr>
          <w:rFonts w:hint="eastAsia" w:ascii="仿宋_GB2312" w:hAnsi="Times New Roman" w:eastAsia="仿宋_GB2312"/>
          <w:sz w:val="32"/>
          <w:szCs w:val="32"/>
        </w:rPr>
        <w:t>容积不小于</w:t>
      </w:r>
      <w:r>
        <w:rPr>
          <w:rFonts w:hint="eastAsia" w:ascii="Times New Roman" w:hAnsi="Times New Roman" w:eastAsia="仿宋_GB2312"/>
          <w:sz w:val="32"/>
          <w:szCs w:val="32"/>
        </w:rPr>
        <w:t>5</w:t>
      </w:r>
      <w:r>
        <w:rPr>
          <w:rFonts w:ascii="Times New Roman" w:hAnsi="Times New Roman" w:eastAsia="仿宋_GB2312"/>
          <w:sz w:val="32"/>
          <w:szCs w:val="32"/>
        </w:rPr>
        <w:t>m</w:t>
      </w:r>
      <w:r>
        <w:rPr>
          <w:rFonts w:ascii="Times New Roman" w:hAnsi="Times New Roman" w:eastAsia="仿宋_GB2312"/>
          <w:sz w:val="32"/>
          <w:szCs w:val="32"/>
          <w:vertAlign w:val="superscript"/>
        </w:rPr>
        <w:t>3</w:t>
      </w:r>
      <w:r>
        <w:rPr>
          <w:rFonts w:ascii="仿宋_GB2312" w:hAnsi="Times New Roman" w:eastAsia="仿宋_GB2312"/>
          <w:sz w:val="32"/>
          <w:szCs w:val="32"/>
        </w:rPr>
        <w:t>洗车池沉淀后循环使用，不外排。</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施工期生活污水依托采石场办公区化粪池处理</w:t>
      </w:r>
      <w:r>
        <w:rPr>
          <w:rFonts w:hint="eastAsia" w:ascii="仿宋_GB2312" w:hAnsi="Times New Roman" w:eastAsia="仿宋_GB2312"/>
          <w:sz w:val="32"/>
          <w:szCs w:val="32"/>
        </w:rPr>
        <w:t>后委托环卫部门清运处置；</w:t>
      </w:r>
      <w:r>
        <w:rPr>
          <w:rFonts w:ascii="仿宋_GB2312" w:hAnsi="Times New Roman" w:eastAsia="仿宋_GB2312"/>
          <w:sz w:val="32"/>
          <w:szCs w:val="32"/>
        </w:rPr>
        <w:t>施工废水经临时沉淀池</w:t>
      </w:r>
      <w:r>
        <w:rPr>
          <w:rFonts w:hint="eastAsia" w:ascii="仿宋_GB2312" w:hAnsi="Times New Roman" w:eastAsia="仿宋_GB2312"/>
          <w:sz w:val="32"/>
          <w:szCs w:val="32"/>
        </w:rPr>
        <w:t>收集</w:t>
      </w:r>
      <w:r>
        <w:rPr>
          <w:rFonts w:ascii="仿宋_GB2312" w:hAnsi="Times New Roman" w:eastAsia="仿宋_GB2312"/>
          <w:sz w:val="32"/>
          <w:szCs w:val="32"/>
        </w:rPr>
        <w:t>处理后</w:t>
      </w:r>
      <w:r>
        <w:rPr>
          <w:rFonts w:hint="eastAsia" w:ascii="仿宋_GB2312" w:hAnsi="Times New Roman" w:eastAsia="仿宋_GB2312"/>
          <w:sz w:val="32"/>
          <w:szCs w:val="32"/>
        </w:rPr>
        <w:t>回</w:t>
      </w:r>
      <w:r>
        <w:rPr>
          <w:rFonts w:ascii="仿宋_GB2312" w:hAnsi="Times New Roman" w:eastAsia="仿宋_GB2312"/>
          <w:sz w:val="32"/>
          <w:szCs w:val="32"/>
        </w:rPr>
        <w:t>用于场地洒水降尘，不外排。</w:t>
      </w:r>
    </w:p>
    <w:p>
      <w:pPr>
        <w:autoSpaceDE w:val="0"/>
        <w:spacing w:line="560" w:lineRule="exact"/>
        <w:ind w:firstLine="656" w:firstLineChars="200"/>
        <w:rPr>
          <w:rFonts w:ascii="Times New Roman" w:hAnsi="Times New Roman" w:eastAsia="仿宋_GB2312"/>
          <w:spacing w:val="4"/>
          <w:kern w:val="24"/>
          <w:sz w:val="32"/>
          <w:szCs w:val="32"/>
        </w:rPr>
      </w:pPr>
      <w:r>
        <w:rPr>
          <w:rFonts w:ascii="仿宋_GB2312" w:hAnsi="Times New Roman" w:eastAsia="仿宋_GB2312"/>
          <w:spacing w:val="4"/>
          <w:kern w:val="24"/>
          <w:sz w:val="32"/>
          <w:szCs w:val="32"/>
        </w:rPr>
        <w:t>（二）</w:t>
      </w:r>
      <w:r>
        <w:rPr>
          <w:rFonts w:ascii="仿宋_GB2312" w:hAnsi="Times New Roman" w:eastAsia="仿宋_GB2312"/>
          <w:sz w:val="32"/>
          <w:szCs w:val="32"/>
        </w:rPr>
        <w:t>严格落实各项大气污染防治措施，</w:t>
      </w:r>
      <w:r>
        <w:rPr>
          <w:rFonts w:ascii="仿宋_GB2312" w:hAnsi="Times New Roman" w:eastAsia="仿宋_GB2312"/>
          <w:spacing w:val="4"/>
          <w:kern w:val="24"/>
          <w:sz w:val="32"/>
          <w:szCs w:val="32"/>
        </w:rPr>
        <w:t>确保大气污染物达标排放。</w:t>
      </w:r>
    </w:p>
    <w:p>
      <w:pPr>
        <w:autoSpaceDE w:val="0"/>
        <w:spacing w:line="560" w:lineRule="exact"/>
        <w:ind w:firstLine="656" w:firstLineChars="200"/>
        <w:rPr>
          <w:rFonts w:ascii="Times New Roman" w:hAnsi="Times New Roman" w:eastAsia="仿宋_GB2312"/>
          <w:spacing w:val="4"/>
          <w:kern w:val="24"/>
          <w:sz w:val="32"/>
          <w:szCs w:val="32"/>
        </w:rPr>
      </w:pPr>
      <w:r>
        <w:rPr>
          <w:rFonts w:ascii="仿宋_GB2312" w:hAnsi="Times New Roman" w:eastAsia="仿宋_GB2312"/>
          <w:spacing w:val="4"/>
          <w:kern w:val="24"/>
          <w:sz w:val="32"/>
          <w:szCs w:val="32"/>
        </w:rPr>
        <w:t>项目共设置</w:t>
      </w:r>
      <w:r>
        <w:rPr>
          <w:rFonts w:ascii="Times New Roman" w:hAnsi="Times New Roman" w:eastAsia="仿宋_GB2312"/>
          <w:spacing w:val="4"/>
          <w:kern w:val="24"/>
          <w:sz w:val="32"/>
          <w:szCs w:val="32"/>
        </w:rPr>
        <w:t>4</w:t>
      </w:r>
      <w:r>
        <w:rPr>
          <w:rFonts w:ascii="仿宋_GB2312" w:hAnsi="Times New Roman" w:eastAsia="仿宋_GB2312"/>
          <w:spacing w:val="4"/>
          <w:kern w:val="24"/>
          <w:sz w:val="32"/>
          <w:szCs w:val="32"/>
        </w:rPr>
        <w:t>根排气筒，其中有机热载体炉</w:t>
      </w:r>
      <w:r>
        <w:rPr>
          <w:rFonts w:hint="eastAsia" w:ascii="仿宋_GB2312" w:hAnsi="Times New Roman" w:eastAsia="仿宋_GB2312"/>
          <w:spacing w:val="4"/>
          <w:kern w:val="24"/>
          <w:sz w:val="32"/>
          <w:szCs w:val="32"/>
        </w:rPr>
        <w:t>产生的</w:t>
      </w:r>
      <w:r>
        <w:rPr>
          <w:rFonts w:ascii="仿宋_GB2312" w:hAnsi="Times New Roman" w:eastAsia="仿宋_GB2312"/>
          <w:spacing w:val="4"/>
          <w:kern w:val="24"/>
          <w:sz w:val="32"/>
          <w:szCs w:val="32"/>
        </w:rPr>
        <w:t>废气排气筒高度不低于</w:t>
      </w:r>
      <w:r>
        <w:rPr>
          <w:rFonts w:ascii="Times New Roman" w:hAnsi="Times New Roman" w:eastAsia="仿宋_GB2312"/>
          <w:spacing w:val="4"/>
          <w:kern w:val="24"/>
          <w:sz w:val="32"/>
          <w:szCs w:val="32"/>
        </w:rPr>
        <w:t>8</w:t>
      </w:r>
      <w:r>
        <w:rPr>
          <w:rFonts w:ascii="仿宋_GB2312" w:hAnsi="Times New Roman" w:eastAsia="仿宋_GB2312"/>
          <w:spacing w:val="4"/>
          <w:kern w:val="24"/>
          <w:sz w:val="32"/>
          <w:szCs w:val="32"/>
        </w:rPr>
        <w:t>米，其余</w:t>
      </w:r>
      <w:r>
        <w:rPr>
          <w:rFonts w:ascii="Times New Roman" w:hAnsi="Times New Roman" w:eastAsia="仿宋_GB2312"/>
          <w:spacing w:val="4"/>
          <w:kern w:val="24"/>
          <w:sz w:val="32"/>
          <w:szCs w:val="32"/>
        </w:rPr>
        <w:t>3</w:t>
      </w:r>
      <w:r>
        <w:rPr>
          <w:rFonts w:ascii="仿宋_GB2312" w:hAnsi="Times New Roman" w:eastAsia="仿宋_GB2312"/>
          <w:spacing w:val="4"/>
          <w:kern w:val="24"/>
          <w:sz w:val="32"/>
          <w:szCs w:val="32"/>
        </w:rPr>
        <w:t>根排气筒高度不低于</w:t>
      </w:r>
      <w:r>
        <w:rPr>
          <w:rFonts w:ascii="Times New Roman" w:hAnsi="Times New Roman" w:eastAsia="仿宋_GB2312"/>
          <w:spacing w:val="4"/>
          <w:kern w:val="24"/>
          <w:sz w:val="32"/>
          <w:szCs w:val="32"/>
        </w:rPr>
        <w:t>15</w:t>
      </w:r>
      <w:r>
        <w:rPr>
          <w:rFonts w:ascii="仿宋_GB2312" w:hAnsi="Times New Roman" w:eastAsia="仿宋_GB2312"/>
          <w:spacing w:val="4"/>
          <w:kern w:val="24"/>
          <w:sz w:val="32"/>
          <w:szCs w:val="32"/>
        </w:rPr>
        <w:t>米。</w:t>
      </w:r>
    </w:p>
    <w:p>
      <w:pPr>
        <w:autoSpaceDE w:val="0"/>
        <w:spacing w:line="560" w:lineRule="exact"/>
        <w:ind w:firstLine="656" w:firstLineChars="200"/>
        <w:rPr>
          <w:rFonts w:ascii="Times New Roman" w:hAnsi="Times New Roman" w:eastAsia="仿宋_GB2312"/>
          <w:spacing w:val="4"/>
          <w:kern w:val="24"/>
          <w:sz w:val="32"/>
          <w:szCs w:val="32"/>
        </w:rPr>
      </w:pPr>
      <w:r>
        <w:rPr>
          <w:rFonts w:ascii="仿宋_GB2312" w:hAnsi="Times New Roman" w:eastAsia="仿宋_GB2312"/>
          <w:spacing w:val="4"/>
          <w:kern w:val="24"/>
          <w:sz w:val="32"/>
          <w:szCs w:val="32"/>
        </w:rPr>
        <w:t>项目运营期上料、烘干滚筒燃烧、烘干滚筒石料滚动、筛分</w:t>
      </w:r>
      <w:r>
        <w:rPr>
          <w:rFonts w:hint="eastAsia" w:ascii="仿宋_GB2312" w:hAnsi="Times New Roman" w:eastAsia="仿宋_GB2312"/>
          <w:spacing w:val="4"/>
          <w:kern w:val="24"/>
          <w:sz w:val="32"/>
          <w:szCs w:val="32"/>
        </w:rPr>
        <w:t>、</w:t>
      </w:r>
      <w:r>
        <w:rPr>
          <w:rFonts w:ascii="仿宋_GB2312" w:hAnsi="Times New Roman" w:eastAsia="仿宋_GB2312"/>
          <w:spacing w:val="4"/>
          <w:kern w:val="24"/>
          <w:sz w:val="32"/>
          <w:szCs w:val="32"/>
        </w:rPr>
        <w:t>沥青加热、搅拌、出料</w:t>
      </w:r>
      <w:r>
        <w:rPr>
          <w:rFonts w:hint="eastAsia" w:ascii="仿宋_GB2312" w:hAnsi="Times New Roman" w:eastAsia="仿宋_GB2312"/>
          <w:spacing w:val="4"/>
          <w:kern w:val="24"/>
          <w:sz w:val="32"/>
          <w:szCs w:val="32"/>
        </w:rPr>
        <w:t>、</w:t>
      </w:r>
      <w:r>
        <w:rPr>
          <w:rFonts w:ascii="仿宋_GB2312" w:hAnsi="Times New Roman" w:eastAsia="仿宋_GB2312"/>
          <w:spacing w:val="4"/>
          <w:kern w:val="24"/>
          <w:sz w:val="32"/>
          <w:szCs w:val="32"/>
        </w:rPr>
        <w:t>工段产生的颗粒物、二氧化硫、氮氧化物</w:t>
      </w:r>
      <w:r>
        <w:rPr>
          <w:rFonts w:hint="eastAsia" w:ascii="仿宋_GB2312" w:hAnsi="Times New Roman" w:eastAsia="仿宋_GB2312"/>
          <w:spacing w:val="4"/>
          <w:kern w:val="24"/>
          <w:sz w:val="32"/>
          <w:szCs w:val="32"/>
        </w:rPr>
        <w:t>、</w:t>
      </w:r>
      <w:r>
        <w:rPr>
          <w:rFonts w:ascii="仿宋_GB2312" w:hAnsi="Times New Roman" w:eastAsia="仿宋_GB2312"/>
          <w:spacing w:val="4"/>
          <w:kern w:val="24"/>
          <w:sz w:val="32"/>
          <w:szCs w:val="32"/>
        </w:rPr>
        <w:t>沥青烟、苯并</w:t>
      </w:r>
      <w:r>
        <w:rPr>
          <w:rFonts w:ascii="Times New Roman" w:hAnsi="Times New Roman" w:eastAsia="仿宋_GB2312"/>
          <w:spacing w:val="4"/>
          <w:kern w:val="24"/>
          <w:sz w:val="32"/>
          <w:szCs w:val="32"/>
        </w:rPr>
        <w:t>[α]</w:t>
      </w:r>
      <w:r>
        <w:rPr>
          <w:rFonts w:ascii="仿宋_GB2312" w:hAnsi="Times New Roman" w:eastAsia="仿宋_GB2312"/>
          <w:spacing w:val="4"/>
          <w:kern w:val="24"/>
          <w:sz w:val="32"/>
          <w:szCs w:val="32"/>
        </w:rPr>
        <w:t>芘、非甲烷总烃</w:t>
      </w:r>
      <w:r>
        <w:rPr>
          <w:rFonts w:hint="eastAsia" w:ascii="仿宋_GB2312" w:hAnsi="Times New Roman" w:eastAsia="仿宋_GB2312"/>
          <w:spacing w:val="4"/>
          <w:kern w:val="24"/>
          <w:sz w:val="32"/>
          <w:szCs w:val="32"/>
        </w:rPr>
        <w:t>有组织</w:t>
      </w:r>
      <w:r>
        <w:rPr>
          <w:rFonts w:ascii="仿宋_GB2312" w:hAnsi="Times New Roman" w:eastAsia="仿宋_GB2312"/>
          <w:spacing w:val="4"/>
          <w:kern w:val="24"/>
          <w:sz w:val="32"/>
          <w:szCs w:val="32"/>
        </w:rPr>
        <w:t>排放执行《大气污染物综合排放标准》（</w:t>
      </w:r>
      <w:r>
        <w:rPr>
          <w:rFonts w:ascii="Times New Roman" w:hAnsi="Times New Roman" w:eastAsia="仿宋_GB2312"/>
          <w:spacing w:val="4"/>
          <w:kern w:val="24"/>
          <w:sz w:val="32"/>
          <w:szCs w:val="32"/>
        </w:rPr>
        <w:t>GB16297-1996</w:t>
      </w:r>
      <w:r>
        <w:rPr>
          <w:rFonts w:ascii="仿宋_GB2312" w:hAnsi="Times New Roman" w:eastAsia="仿宋_GB2312"/>
          <w:spacing w:val="4"/>
          <w:kern w:val="24"/>
          <w:sz w:val="32"/>
          <w:szCs w:val="32"/>
        </w:rPr>
        <w:t>）表</w:t>
      </w:r>
      <w:r>
        <w:rPr>
          <w:rFonts w:ascii="Times New Roman" w:hAnsi="Times New Roman" w:eastAsia="仿宋_GB2312"/>
          <w:spacing w:val="4"/>
          <w:kern w:val="24"/>
          <w:sz w:val="32"/>
          <w:szCs w:val="32"/>
        </w:rPr>
        <w:t>2</w:t>
      </w:r>
      <w:r>
        <w:rPr>
          <w:rFonts w:ascii="仿宋_GB2312" w:hAnsi="Times New Roman" w:eastAsia="仿宋_GB2312"/>
          <w:spacing w:val="4"/>
          <w:kern w:val="24"/>
          <w:sz w:val="32"/>
          <w:szCs w:val="32"/>
        </w:rPr>
        <w:t>二级标准限值；有机热载体炉产生的颗粒物、二氧化硫、氮氧化物排放执行《锅炉大气污染物排放标准》（</w:t>
      </w:r>
      <w:r>
        <w:rPr>
          <w:rFonts w:ascii="Times New Roman" w:hAnsi="Times New Roman" w:eastAsia="仿宋_GB2312"/>
          <w:spacing w:val="4"/>
          <w:kern w:val="24"/>
          <w:sz w:val="32"/>
          <w:szCs w:val="32"/>
        </w:rPr>
        <w:t>GB13271-2014</w:t>
      </w:r>
      <w:r>
        <w:rPr>
          <w:rFonts w:ascii="仿宋_GB2312" w:hAnsi="Times New Roman" w:eastAsia="仿宋_GB2312"/>
          <w:spacing w:val="4"/>
          <w:kern w:val="24"/>
          <w:sz w:val="32"/>
          <w:szCs w:val="32"/>
        </w:rPr>
        <w:t>）表</w:t>
      </w:r>
      <w:r>
        <w:rPr>
          <w:rFonts w:ascii="Times New Roman" w:hAnsi="Times New Roman" w:eastAsia="仿宋_GB2312"/>
          <w:spacing w:val="4"/>
          <w:kern w:val="24"/>
          <w:sz w:val="32"/>
          <w:szCs w:val="32"/>
        </w:rPr>
        <w:t>2</w:t>
      </w:r>
      <w:r>
        <w:rPr>
          <w:rFonts w:ascii="仿宋_GB2312" w:hAnsi="Times New Roman" w:eastAsia="仿宋_GB2312"/>
          <w:spacing w:val="4"/>
          <w:kern w:val="24"/>
          <w:sz w:val="32"/>
          <w:szCs w:val="32"/>
        </w:rPr>
        <w:t>中燃油锅炉大气污染物标准限值。</w:t>
      </w:r>
    </w:p>
    <w:p>
      <w:pPr>
        <w:autoSpaceDE w:val="0"/>
        <w:spacing w:line="560" w:lineRule="exact"/>
        <w:ind w:firstLine="656" w:firstLineChars="200"/>
        <w:rPr>
          <w:rFonts w:ascii="Times New Roman" w:hAnsi="Times New Roman" w:eastAsia="仿宋_GB2312"/>
          <w:spacing w:val="4"/>
          <w:kern w:val="24"/>
          <w:sz w:val="32"/>
          <w:szCs w:val="32"/>
        </w:rPr>
      </w:pPr>
      <w:r>
        <w:rPr>
          <w:rFonts w:ascii="仿宋_GB2312" w:hAnsi="Times New Roman" w:eastAsia="仿宋_GB2312"/>
          <w:spacing w:val="4"/>
          <w:kern w:val="24"/>
          <w:sz w:val="32"/>
          <w:szCs w:val="32"/>
        </w:rPr>
        <w:t>厂界无组织颗粒物、沥青烟、苯并</w:t>
      </w:r>
      <w:r>
        <w:rPr>
          <w:rFonts w:ascii="Times New Roman" w:hAnsi="Times New Roman" w:eastAsia="仿宋_GB2312"/>
          <w:spacing w:val="4"/>
          <w:kern w:val="24"/>
          <w:sz w:val="32"/>
          <w:szCs w:val="32"/>
        </w:rPr>
        <w:t>[α]</w:t>
      </w:r>
      <w:r>
        <w:rPr>
          <w:rFonts w:ascii="仿宋_GB2312" w:hAnsi="Times New Roman" w:eastAsia="仿宋_GB2312"/>
          <w:spacing w:val="4"/>
          <w:kern w:val="24"/>
          <w:sz w:val="32"/>
          <w:szCs w:val="32"/>
        </w:rPr>
        <w:t>芘、非甲烷总烃排放执行《大气污染物综合排放标准》（</w:t>
      </w:r>
      <w:r>
        <w:rPr>
          <w:rFonts w:ascii="Times New Roman" w:hAnsi="Times New Roman" w:eastAsia="仿宋_GB2312"/>
          <w:spacing w:val="4"/>
          <w:kern w:val="24"/>
          <w:sz w:val="32"/>
          <w:szCs w:val="32"/>
        </w:rPr>
        <w:t>GB 16297-1996</w:t>
      </w:r>
      <w:r>
        <w:rPr>
          <w:rFonts w:ascii="仿宋_GB2312" w:hAnsi="Times New Roman" w:eastAsia="仿宋_GB2312"/>
          <w:spacing w:val="4"/>
          <w:kern w:val="24"/>
          <w:sz w:val="32"/>
          <w:szCs w:val="32"/>
        </w:rPr>
        <w:t>）表</w:t>
      </w:r>
      <w:r>
        <w:rPr>
          <w:rFonts w:ascii="Times New Roman" w:hAnsi="Times New Roman" w:eastAsia="仿宋_GB2312"/>
          <w:spacing w:val="4"/>
          <w:kern w:val="24"/>
          <w:sz w:val="32"/>
          <w:szCs w:val="32"/>
        </w:rPr>
        <w:t>2</w:t>
      </w:r>
      <w:r>
        <w:rPr>
          <w:rFonts w:hint="eastAsia" w:ascii="仿宋_GB2312" w:hAnsi="Times New Roman" w:eastAsia="仿宋_GB2312"/>
          <w:spacing w:val="4"/>
          <w:kern w:val="24"/>
          <w:sz w:val="32"/>
          <w:szCs w:val="32"/>
        </w:rPr>
        <w:t>无组织排放监控浓度限值</w:t>
      </w:r>
      <w:r>
        <w:rPr>
          <w:rFonts w:ascii="仿宋_GB2312" w:hAnsi="Times New Roman" w:eastAsia="仿宋_GB2312"/>
          <w:spacing w:val="4"/>
          <w:kern w:val="24"/>
          <w:sz w:val="32"/>
          <w:szCs w:val="32"/>
        </w:rPr>
        <w:t>，臭气</w:t>
      </w:r>
      <w:r>
        <w:rPr>
          <w:rFonts w:hint="eastAsia" w:ascii="仿宋_GB2312" w:hAnsi="Times New Roman" w:eastAsia="仿宋_GB2312"/>
          <w:spacing w:val="4"/>
          <w:kern w:val="24"/>
          <w:sz w:val="32"/>
          <w:szCs w:val="32"/>
        </w:rPr>
        <w:t>浓度</w:t>
      </w:r>
      <w:r>
        <w:rPr>
          <w:rFonts w:ascii="仿宋_GB2312" w:hAnsi="Times New Roman" w:eastAsia="仿宋_GB2312"/>
          <w:spacing w:val="4"/>
          <w:kern w:val="24"/>
          <w:sz w:val="32"/>
          <w:szCs w:val="32"/>
        </w:rPr>
        <w:t>排放执行《恶臭污染物排放标准》（</w:t>
      </w:r>
      <w:r>
        <w:rPr>
          <w:rFonts w:ascii="Times New Roman" w:hAnsi="Times New Roman" w:eastAsia="仿宋_GB2312"/>
          <w:spacing w:val="4"/>
          <w:kern w:val="24"/>
          <w:sz w:val="32"/>
          <w:szCs w:val="32"/>
        </w:rPr>
        <w:t>GB14554-93</w:t>
      </w:r>
      <w:r>
        <w:rPr>
          <w:rFonts w:ascii="仿宋_GB2312" w:hAnsi="Times New Roman" w:eastAsia="仿宋_GB2312"/>
          <w:spacing w:val="4"/>
          <w:kern w:val="24"/>
          <w:sz w:val="32"/>
          <w:szCs w:val="32"/>
        </w:rPr>
        <w:t>）表</w:t>
      </w:r>
      <w:r>
        <w:rPr>
          <w:rFonts w:ascii="Times New Roman" w:hAnsi="Times New Roman" w:eastAsia="仿宋_GB2312"/>
          <w:spacing w:val="4"/>
          <w:kern w:val="24"/>
          <w:sz w:val="32"/>
          <w:szCs w:val="32"/>
        </w:rPr>
        <w:t>1</w:t>
      </w:r>
      <w:r>
        <w:rPr>
          <w:rFonts w:ascii="仿宋_GB2312" w:hAnsi="Times New Roman" w:eastAsia="仿宋_GB2312"/>
          <w:spacing w:val="4"/>
          <w:kern w:val="24"/>
          <w:sz w:val="32"/>
          <w:szCs w:val="32"/>
        </w:rPr>
        <w:t>二级标准要求</w:t>
      </w:r>
      <w:r>
        <w:rPr>
          <w:rFonts w:hint="eastAsia" w:ascii="仿宋_GB2312" w:hAnsi="Times New Roman" w:eastAsia="仿宋_GB2312"/>
          <w:spacing w:val="4"/>
          <w:kern w:val="24"/>
          <w:sz w:val="32"/>
          <w:szCs w:val="32"/>
        </w:rPr>
        <w:t>。</w:t>
      </w:r>
    </w:p>
    <w:p>
      <w:pPr>
        <w:autoSpaceDE w:val="0"/>
        <w:spacing w:line="560" w:lineRule="exact"/>
        <w:ind w:firstLine="656" w:firstLineChars="200"/>
        <w:rPr>
          <w:rFonts w:hint="eastAsia" w:ascii="Times New Roman" w:hAnsi="Times New Roman" w:eastAsia="仿宋_GB2312"/>
          <w:spacing w:val="4"/>
          <w:kern w:val="24"/>
          <w:sz w:val="32"/>
          <w:szCs w:val="32"/>
        </w:rPr>
      </w:pPr>
      <w:r>
        <w:rPr>
          <w:rFonts w:ascii="仿宋_GB2312" w:hAnsi="Times New Roman" w:eastAsia="仿宋_GB2312"/>
          <w:spacing w:val="4"/>
          <w:kern w:val="24"/>
          <w:sz w:val="32"/>
          <w:szCs w:val="32"/>
        </w:rPr>
        <w:t>厂区内非甲烷总烃排放执行《挥发性有机物无组织排放控制标准》（</w:t>
      </w:r>
      <w:r>
        <w:rPr>
          <w:rFonts w:ascii="Times New Roman" w:hAnsi="Times New Roman" w:eastAsia="仿宋_GB2312"/>
          <w:spacing w:val="4"/>
          <w:kern w:val="24"/>
          <w:sz w:val="32"/>
          <w:szCs w:val="32"/>
        </w:rPr>
        <w:t>GB37822-2019</w:t>
      </w:r>
      <w:r>
        <w:rPr>
          <w:rFonts w:ascii="仿宋_GB2312" w:hAnsi="Times New Roman" w:eastAsia="仿宋_GB2312"/>
          <w:spacing w:val="4"/>
          <w:kern w:val="24"/>
          <w:sz w:val="32"/>
          <w:szCs w:val="32"/>
        </w:rPr>
        <w:t>）中浓度限值。</w:t>
      </w:r>
    </w:p>
    <w:p>
      <w:pPr>
        <w:autoSpaceDE w:val="0"/>
        <w:spacing w:line="560" w:lineRule="exact"/>
        <w:ind w:firstLine="656" w:firstLineChars="200"/>
        <w:rPr>
          <w:rFonts w:ascii="Times New Roman" w:hAnsi="Times New Roman" w:eastAsia="仿宋_GB2312"/>
          <w:sz w:val="32"/>
          <w:szCs w:val="32"/>
        </w:rPr>
      </w:pPr>
      <w:r>
        <w:rPr>
          <w:rFonts w:ascii="仿宋_GB2312" w:hAnsi="Times New Roman" w:eastAsia="仿宋_GB2312"/>
          <w:spacing w:val="4"/>
          <w:kern w:val="24"/>
          <w:sz w:val="32"/>
          <w:szCs w:val="32"/>
        </w:rPr>
        <w:t>施工期严格控制扬尘和施工机械产生的燃油烟气，施工现场、临时堆场、运输车辆应采取有效的防治措施，</w:t>
      </w:r>
      <w:r>
        <w:rPr>
          <w:rFonts w:hint="eastAsia" w:ascii="仿宋_GB2312" w:hAnsi="Times New Roman" w:eastAsia="仿宋_GB2312"/>
          <w:sz w:val="32"/>
          <w:szCs w:val="32"/>
          <w:shd w:val="clear" w:color="auto" w:fill="FFFFFF"/>
        </w:rPr>
        <w:t>施工扬尘执行《大气污染物综合排放标准》（</w:t>
      </w:r>
      <w:r>
        <w:rPr>
          <w:rFonts w:ascii="Times New Roman" w:hAnsi="Times New Roman" w:eastAsia="仿宋_GB2312"/>
          <w:sz w:val="32"/>
          <w:szCs w:val="32"/>
          <w:shd w:val="clear" w:color="auto" w:fill="FFFFFF"/>
        </w:rPr>
        <w:t>GB16297-1996</w:t>
      </w:r>
      <w:r>
        <w:rPr>
          <w:rFonts w:hint="eastAsia" w:ascii="仿宋_GB2312" w:hAnsi="Times New Roman" w:eastAsia="仿宋_GB2312"/>
          <w:sz w:val="32"/>
          <w:szCs w:val="32"/>
          <w:shd w:val="clear" w:color="auto" w:fill="FFFFFF"/>
        </w:rPr>
        <w:t>）表</w:t>
      </w:r>
      <w:r>
        <w:rPr>
          <w:rFonts w:ascii="Times New Roman" w:hAnsi="Times New Roman" w:eastAsia="仿宋_GB2312"/>
          <w:sz w:val="32"/>
          <w:szCs w:val="32"/>
          <w:shd w:val="clear" w:color="auto" w:fill="FFFFFF"/>
        </w:rPr>
        <w:t>2</w:t>
      </w:r>
      <w:r>
        <w:rPr>
          <w:rFonts w:hint="eastAsia" w:ascii="仿宋_GB2312" w:hAnsi="Times New Roman" w:eastAsia="仿宋_GB2312"/>
          <w:sz w:val="32"/>
          <w:szCs w:val="32"/>
          <w:shd w:val="clear" w:color="auto" w:fill="FFFFFF"/>
        </w:rPr>
        <w:t>无组织排放监控浓度限值。</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（三）严格落实噪声污染防治措施。</w:t>
      </w:r>
    </w:p>
    <w:p>
      <w:pPr>
        <w:autoSpaceDE w:val="0"/>
        <w:spacing w:line="560" w:lineRule="exact"/>
        <w:ind w:firstLine="656" w:firstLineChars="200"/>
        <w:rPr>
          <w:rFonts w:ascii="Times New Roman" w:hAnsi="Times New Roman" w:eastAsia="仿宋_GB2312"/>
          <w:spacing w:val="4"/>
          <w:kern w:val="24"/>
          <w:sz w:val="32"/>
          <w:szCs w:val="32"/>
        </w:rPr>
      </w:pPr>
      <w:r>
        <w:rPr>
          <w:rFonts w:ascii="仿宋_GB2312" w:hAnsi="Times New Roman" w:eastAsia="仿宋_GB2312"/>
          <w:spacing w:val="4"/>
          <w:kern w:val="24"/>
          <w:sz w:val="32"/>
          <w:szCs w:val="32"/>
        </w:rPr>
        <w:t>运营期厂界噪声执行《工业企业厂界环境噪声排放标准》（</w:t>
      </w:r>
      <w:r>
        <w:rPr>
          <w:rFonts w:ascii="Times New Roman" w:hAnsi="Times New Roman" w:eastAsia="仿宋_GB2312"/>
          <w:spacing w:val="4"/>
          <w:kern w:val="24"/>
          <w:sz w:val="32"/>
          <w:szCs w:val="32"/>
        </w:rPr>
        <w:t>GB12348-2008</w:t>
      </w:r>
      <w:r>
        <w:rPr>
          <w:rFonts w:ascii="仿宋_GB2312" w:hAnsi="Times New Roman" w:eastAsia="仿宋_GB2312"/>
          <w:spacing w:val="4"/>
          <w:kern w:val="24"/>
          <w:sz w:val="32"/>
          <w:szCs w:val="32"/>
        </w:rPr>
        <w:t>）</w:t>
      </w:r>
      <w:r>
        <w:rPr>
          <w:rFonts w:ascii="Times New Roman" w:hAnsi="Times New Roman" w:eastAsia="仿宋_GB2312"/>
          <w:spacing w:val="4"/>
          <w:kern w:val="24"/>
          <w:sz w:val="32"/>
          <w:szCs w:val="32"/>
        </w:rPr>
        <w:t>2</w:t>
      </w:r>
      <w:r>
        <w:rPr>
          <w:rFonts w:ascii="仿宋_GB2312" w:hAnsi="Times New Roman" w:eastAsia="仿宋_GB2312"/>
          <w:spacing w:val="4"/>
          <w:kern w:val="24"/>
          <w:sz w:val="32"/>
          <w:szCs w:val="32"/>
        </w:rPr>
        <w:t>类标准限值，项目夜间不生产。</w:t>
      </w:r>
    </w:p>
    <w:p>
      <w:pPr>
        <w:autoSpaceDE w:val="0"/>
        <w:spacing w:line="56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施工过程中应合理安排施工时间，严格控制各类施工机械产生的噪声，施工噪声执行《建筑施工噪声排放标准》（</w:t>
      </w:r>
      <w:r>
        <w:rPr>
          <w:rFonts w:ascii="Times New Roman" w:hAnsi="Times New Roman" w:eastAsia="仿宋_GB2312"/>
          <w:kern w:val="0"/>
          <w:sz w:val="32"/>
          <w:szCs w:val="32"/>
        </w:rPr>
        <w:t>GB12523-2025</w:t>
      </w:r>
      <w:r>
        <w:rPr>
          <w:rFonts w:ascii="仿宋_GB2312" w:hAnsi="Times New Roman" w:eastAsia="仿宋_GB2312"/>
          <w:kern w:val="0"/>
          <w:sz w:val="32"/>
          <w:szCs w:val="32"/>
        </w:rPr>
        <w:t>）要求。</w:t>
      </w:r>
    </w:p>
    <w:p>
      <w:pPr>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（四）</w:t>
      </w:r>
      <w:r>
        <w:rPr>
          <w:rFonts w:ascii="仿宋_GB2312" w:hAnsi="Times New Roman" w:eastAsia="仿宋_GB2312"/>
          <w:sz w:val="32"/>
          <w:szCs w:val="32"/>
        </w:rPr>
        <w:t>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项目运营期滴漏沥青及拌合残渣收集后暂存于密闭的塑料桶内，外售作为建筑材料；除尘灰收集后作为矿粉回用于生产；废布袋由厂家更换时带走处置；洗车沉淀池污泥清掏回用</w:t>
      </w:r>
      <w:r>
        <w:rPr>
          <w:rFonts w:hint="eastAsia" w:ascii="仿宋_GB2312" w:hAnsi="Times New Roman" w:eastAsia="仿宋_GB2312"/>
          <w:sz w:val="32"/>
          <w:szCs w:val="32"/>
        </w:rPr>
        <w:t>于</w:t>
      </w:r>
      <w:r>
        <w:rPr>
          <w:rFonts w:ascii="仿宋_GB2312" w:hAnsi="Times New Roman" w:eastAsia="仿宋_GB2312"/>
          <w:sz w:val="32"/>
          <w:szCs w:val="32"/>
        </w:rPr>
        <w:t>生产；废活性炭、废导热油、废机油、含机油废抹布和废手套、废焦油、储油罐油泥等危险废物暂存于危险废物暂存间，定期委托有资质单位清运处置，严格执行《危险废物贮存污染控制标准》（</w:t>
      </w:r>
      <w:r>
        <w:rPr>
          <w:rFonts w:ascii="Times New Roman" w:hAnsi="Times New Roman" w:eastAsia="仿宋_GB2312"/>
          <w:sz w:val="32"/>
          <w:szCs w:val="32"/>
        </w:rPr>
        <w:t>GB18597-2023</w:t>
      </w:r>
      <w:r>
        <w:rPr>
          <w:rFonts w:ascii="仿宋_GB2312" w:hAnsi="Times New Roman" w:eastAsia="仿宋_GB2312"/>
          <w:sz w:val="32"/>
          <w:szCs w:val="32"/>
        </w:rPr>
        <w:t>）、《危险废物收集贮存运输技术规范》（</w:t>
      </w:r>
      <w:r>
        <w:rPr>
          <w:rFonts w:ascii="Times New Roman" w:hAnsi="Times New Roman" w:eastAsia="仿宋_GB2312"/>
          <w:sz w:val="32"/>
          <w:szCs w:val="32"/>
        </w:rPr>
        <w:t>HJ2025-2012</w:t>
      </w:r>
      <w:r>
        <w:rPr>
          <w:rFonts w:ascii="仿宋_GB2312" w:hAnsi="Times New Roman" w:eastAsia="仿宋_GB2312"/>
          <w:sz w:val="32"/>
          <w:szCs w:val="32"/>
        </w:rPr>
        <w:t>）；生活垃圾委托环卫部门清运处置。</w:t>
      </w:r>
    </w:p>
    <w:p>
      <w:pPr>
        <w:autoSpaceDE w:val="0"/>
        <w:spacing w:line="56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施工期生活垃圾统一收集后委托环卫部门清运处置；建筑垃圾分类后综合利用，不能回收利用的委托有资质单位清运至合法建筑垃圾堆放场处置。</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color w:val="000000"/>
          <w:kern w:val="0"/>
          <w:sz w:val="32"/>
          <w:szCs w:val="32"/>
        </w:rPr>
        <w:t>（五）加强地下水和土壤污染防治。严格落实厂区分区防渗措施，防渗工程须委托有资质的监理单位开展施工监理，确保防渗工程符合相关要求，防渗工程施工应在监理部门的监理下进行，对防渗工程进行现场施工监理、录像、记录并存档。</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（六）做好环境风险应急管理工作。严格执行环评风险影响评价中的各项防范措施，并建设相应的风险防范设施。在柴油、沥青储罐区四周设置围堰。</w:t>
      </w:r>
      <w:r>
        <w:rPr>
          <w:rFonts w:hint="eastAsia" w:ascii="仿宋_GB2312" w:hAnsi="Times New Roman" w:eastAsia="仿宋_GB2312"/>
          <w:sz w:val="32"/>
          <w:szCs w:val="32"/>
        </w:rPr>
        <w:t>制定</w:t>
      </w:r>
      <w:r>
        <w:rPr>
          <w:rFonts w:ascii="仿宋_GB2312" w:hAnsi="Times New Roman" w:eastAsia="仿宋_GB2312"/>
          <w:sz w:val="32"/>
          <w:szCs w:val="32"/>
        </w:rPr>
        <w:t>突发环境事件应急预案并报昆明市生态环境局寻甸分局备案。开展必要的应急培训、宣传和演练。</w:t>
      </w:r>
    </w:p>
    <w:p>
      <w:pPr>
        <w:widowControl/>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（七）污染物总量控制指标：颗粒物</w:t>
      </w:r>
      <w:r>
        <w:rPr>
          <w:rFonts w:ascii="Times New Roman" w:hAnsi="Times New Roman" w:eastAsia="仿宋_GB2312"/>
          <w:sz w:val="32"/>
          <w:szCs w:val="32"/>
        </w:rPr>
        <w:t>0.267t/a</w:t>
      </w:r>
      <w:r>
        <w:rPr>
          <w:rFonts w:ascii="仿宋_GB2312" w:hAnsi="Times New Roman" w:eastAsia="仿宋_GB2312"/>
          <w:sz w:val="32"/>
          <w:szCs w:val="32"/>
        </w:rPr>
        <w:t>，</w:t>
      </w:r>
      <w:r>
        <w:rPr>
          <w:rFonts w:hint="eastAsia" w:ascii="仿宋_GB2312" w:hAnsi="Times New Roman" w:eastAsia="仿宋_GB2312"/>
          <w:sz w:val="32"/>
          <w:szCs w:val="32"/>
        </w:rPr>
        <w:t>二氧化硫</w:t>
      </w:r>
      <w:r>
        <w:rPr>
          <w:rFonts w:ascii="Times New Roman" w:hAnsi="Times New Roman" w:eastAsia="仿宋_GB2312"/>
          <w:sz w:val="32"/>
          <w:szCs w:val="32"/>
        </w:rPr>
        <w:t>0.212t/a</w:t>
      </w:r>
      <w:r>
        <w:rPr>
          <w:rFonts w:ascii="仿宋_GB2312" w:hAnsi="Times New Roman" w:eastAsia="仿宋_GB2312"/>
          <w:sz w:val="32"/>
          <w:szCs w:val="32"/>
        </w:rPr>
        <w:t>，</w:t>
      </w:r>
      <w:r>
        <w:rPr>
          <w:rFonts w:hint="eastAsia" w:ascii="仿宋_GB2312" w:hAnsi="Times New Roman" w:eastAsia="仿宋_GB2312"/>
          <w:sz w:val="32"/>
          <w:szCs w:val="32"/>
        </w:rPr>
        <w:t>氮氧化物</w:t>
      </w:r>
      <w:r>
        <w:rPr>
          <w:rFonts w:ascii="Times New Roman" w:hAnsi="Times New Roman" w:eastAsia="仿宋_GB2312"/>
          <w:sz w:val="32"/>
          <w:szCs w:val="32"/>
        </w:rPr>
        <w:t>0.697t/a</w:t>
      </w:r>
      <w:r>
        <w:rPr>
          <w:rFonts w:ascii="仿宋_GB2312" w:hAnsi="Times New Roman" w:eastAsia="仿宋_GB2312"/>
          <w:sz w:val="32"/>
          <w:szCs w:val="32"/>
        </w:rPr>
        <w:t>，沥青烟</w:t>
      </w:r>
      <w:r>
        <w:rPr>
          <w:rFonts w:ascii="Times New Roman" w:hAnsi="Times New Roman" w:eastAsia="仿宋_GB2312"/>
          <w:sz w:val="32"/>
          <w:szCs w:val="32"/>
        </w:rPr>
        <w:t>0.011t/a</w:t>
      </w:r>
      <w:r>
        <w:rPr>
          <w:rFonts w:ascii="仿宋_GB2312" w:hAnsi="Times New Roman" w:eastAsia="仿宋_GB2312"/>
          <w:sz w:val="32"/>
          <w:szCs w:val="32"/>
        </w:rPr>
        <w:t>，苯并</w:t>
      </w:r>
      <w:r>
        <w:rPr>
          <w:rFonts w:ascii="Times New Roman" w:hAnsi="Times New Roman" w:eastAsia="仿宋_GB2312"/>
          <w:sz w:val="32"/>
          <w:szCs w:val="32"/>
        </w:rPr>
        <w:t>[a]</w:t>
      </w:r>
      <w:r>
        <w:rPr>
          <w:rFonts w:ascii="仿宋_GB2312" w:hAnsi="Times New Roman" w:eastAsia="仿宋_GB2312"/>
          <w:sz w:val="32"/>
          <w:szCs w:val="32"/>
        </w:rPr>
        <w:t>芘</w:t>
      </w:r>
      <w:r>
        <w:rPr>
          <w:rFonts w:ascii="Times New Roman" w:hAnsi="Times New Roman" w:eastAsia="仿宋_GB2312"/>
          <w:sz w:val="32"/>
          <w:szCs w:val="32"/>
        </w:rPr>
        <w:t>1.9×10</w:t>
      </w:r>
      <w:r>
        <w:rPr>
          <w:rFonts w:ascii="Times New Roman" w:hAnsi="Times New Roman" w:eastAsia="仿宋_GB2312"/>
          <w:sz w:val="32"/>
          <w:szCs w:val="32"/>
          <w:vertAlign w:val="superscript"/>
        </w:rPr>
        <w:t>-5</w:t>
      </w:r>
      <w:r>
        <w:rPr>
          <w:rFonts w:ascii="Times New Roman" w:hAnsi="Times New Roman" w:eastAsia="仿宋_GB2312"/>
          <w:sz w:val="32"/>
          <w:szCs w:val="32"/>
        </w:rPr>
        <w:t>t/a</w:t>
      </w:r>
      <w:r>
        <w:rPr>
          <w:rFonts w:ascii="仿宋_GB2312" w:hAnsi="Times New Roman" w:eastAsia="仿宋_GB2312"/>
          <w:sz w:val="32"/>
          <w:szCs w:val="32"/>
        </w:rPr>
        <w:t>，非甲烷总烃</w:t>
      </w:r>
      <w:r>
        <w:rPr>
          <w:rFonts w:ascii="Times New Roman" w:hAnsi="Times New Roman" w:eastAsia="仿宋_GB2312"/>
          <w:sz w:val="32"/>
          <w:szCs w:val="32"/>
        </w:rPr>
        <w:t>0.07t/a</w:t>
      </w:r>
      <w:r>
        <w:rPr>
          <w:rFonts w:ascii="仿宋_GB2312" w:hAnsi="Times New Roman" w:eastAsia="仿宋_GB2312"/>
          <w:sz w:val="32"/>
          <w:szCs w:val="32"/>
        </w:rPr>
        <w:t>。氮氧化物和非甲烷总烃</w:t>
      </w:r>
      <w:r>
        <w:rPr>
          <w:rFonts w:hint="eastAsia" w:ascii="仿宋_GB2312" w:hAnsi="Times New Roman" w:eastAsia="仿宋_GB2312"/>
          <w:sz w:val="32"/>
          <w:szCs w:val="32"/>
        </w:rPr>
        <w:t>总量指标</w:t>
      </w:r>
      <w:r>
        <w:rPr>
          <w:rFonts w:ascii="仿宋_GB2312" w:hAnsi="Times New Roman" w:eastAsia="仿宋_GB2312"/>
          <w:sz w:val="32"/>
          <w:szCs w:val="32"/>
        </w:rPr>
        <w:t>来源于寻甸回族彝族自治县凤仪红砖厂关停产生的削减量。</w:t>
      </w:r>
    </w:p>
    <w:p>
      <w:pPr>
        <w:widowControl/>
        <w:suppressAutoHyphens/>
        <w:autoSpaceDE w:val="0"/>
        <w:spacing w:line="560" w:lineRule="exact"/>
        <w:ind w:firstLine="640" w:firstLineChars="200"/>
        <w:rPr>
          <w:rFonts w:ascii="Times New Roman" w:hAnsi="Times New Roman" w:eastAsia="仿宋_GB2312"/>
          <w:kern w:val="0"/>
          <w:sz w:val="32"/>
          <w:szCs w:val="32"/>
          <w:shd w:val="clear" w:color="auto" w:fill="FFFFFF"/>
        </w:rPr>
      </w:pPr>
      <w:r>
        <w:rPr>
          <w:rFonts w:ascii="仿宋_GB2312" w:hAnsi="Times New Roman" w:eastAsia="仿宋_GB2312"/>
          <w:kern w:val="0"/>
          <w:sz w:val="32"/>
          <w:szCs w:val="32"/>
          <w:shd w:val="clear" w:color="auto" w:fill="FFFFFF"/>
        </w:rPr>
        <w:t>（八）</w:t>
      </w:r>
      <w:r>
        <w:rPr>
          <w:rFonts w:ascii="仿宋_GB2312" w:hAnsi="Times New Roman" w:eastAsia="仿宋_GB2312"/>
          <w:sz w:val="32"/>
          <w:szCs w:val="32"/>
        </w:rPr>
        <w:t>按照《排污许可管理条例》相关规定，纳入固定污染源排污许可管理的，需在项目启动生产设施或发生实际排污前，依法取得排污许可手续。</w:t>
      </w:r>
    </w:p>
    <w:p>
      <w:pPr>
        <w:suppressAutoHyphens/>
        <w:autoSpaceDE w:val="0"/>
        <w:spacing w:line="56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shd w:val="clear" w:color="auto" w:fill="FFFFFF"/>
        </w:rPr>
        <w:t>（九）</w:t>
      </w:r>
      <w:r>
        <w:rPr>
          <w:rFonts w:ascii="仿宋_GB2312" w:hAnsi="Times New Roman" w:eastAsia="仿宋_GB2312"/>
          <w:sz w:val="32"/>
          <w:szCs w:val="32"/>
        </w:rPr>
        <w:t>认真组织实施《报告表》提出的环境监测计划，定期</w:t>
      </w:r>
      <w:r>
        <w:rPr>
          <w:rFonts w:ascii="仿宋_GB2312" w:hAnsi="Times New Roman" w:eastAsia="仿宋_GB2312"/>
          <w:spacing w:val="-6"/>
          <w:sz w:val="32"/>
          <w:szCs w:val="32"/>
        </w:rPr>
        <w:t>进行监测，发现异常立即停产，及时查明原因，采取有效控制措施。</w:t>
      </w:r>
    </w:p>
    <w:p>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制度。项目建成调试后，按规定自主开展竣工环保验收，经验收合格后方可正式投入运行。</w:t>
      </w:r>
    </w:p>
    <w:p>
      <w:pPr>
        <w:suppressAutoHyphens/>
        <w:autoSpaceDE w:val="0"/>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spacing w:val="-10"/>
          <w:sz w:val="32"/>
          <w:szCs w:val="32"/>
        </w:rPr>
        <w:t>定该项目开工建设的，环境影响评价文件应当报我局重新审核。</w:t>
      </w:r>
    </w:p>
    <w:p>
      <w:pPr>
        <w:suppressAutoHyphens/>
        <w:autoSpaceDE w:val="0"/>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w:t>
      </w:r>
      <w:r>
        <w:rPr>
          <w:rFonts w:ascii="仿宋_GB2312" w:hAnsi="Times New Roman" w:eastAsia="仿宋_GB2312"/>
          <w:spacing w:val="-10"/>
          <w:sz w:val="32"/>
          <w:szCs w:val="32"/>
        </w:rPr>
        <w:t>单位应按规定接受各级生态环境主管部门的监督检查。</w:t>
      </w:r>
    </w:p>
    <w:p>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请市生态环境局寻甸分局负责组织项目环境现场执法和日常监督管理，请市生态环境保护综合行政执法支队加强监督检查。</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六、依法到其他部门办理相关手续。</w:t>
      </w:r>
    </w:p>
    <w:p>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autoSpaceDE w:val="0"/>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 xml:space="preserve"> </w:t>
      </w:r>
    </w:p>
    <w:p>
      <w:pPr>
        <w:autoSpaceDE w:val="0"/>
        <w:spacing w:line="560" w:lineRule="exact"/>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szCs w:val="21"/>
        </w:rPr>
      </w:pPr>
      <w:r>
        <w:rPr>
          <w:rFonts w:ascii="Times New Roman" w:hAnsi="Times New Roman" w:eastAsia="仿宋_GB2312"/>
          <w:sz w:val="32"/>
          <w:szCs w:val="32"/>
        </w:rPr>
        <w:t xml:space="preserve">                2026年</w:t>
      </w:r>
      <w:r>
        <w:rPr>
          <w:rFonts w:hint="eastAsia" w:ascii="Times New Roman" w:hAnsi="Times New Roman" w:eastAsia="仿宋_GB2312"/>
          <w:sz w:val="32"/>
          <w:szCs w:val="32"/>
        </w:rPr>
        <w:t>3</w:t>
      </w:r>
      <w:r>
        <w:rPr>
          <w:rFonts w:ascii="Times New Roman" w:hAnsi="Times New Roman" w:eastAsia="仿宋_GB2312"/>
          <w:sz w:val="32"/>
          <w:szCs w:val="32"/>
        </w:rPr>
        <w:t>月</w:t>
      </w:r>
      <w:r>
        <w:rPr>
          <w:rFonts w:hint="eastAsia" w:ascii="Times New Roman" w:hAnsi="Times New Roman" w:eastAsia="仿宋_GB2312"/>
          <w:sz w:val="32"/>
          <w:szCs w:val="32"/>
        </w:rPr>
        <w:t>2</w:t>
      </w:r>
      <w:r>
        <w:rPr>
          <w:rFonts w:ascii="Times New Roman" w:hAnsi="Times New Roman" w:eastAsia="仿宋_GB2312"/>
          <w:sz w:val="32"/>
          <w:szCs w:val="32"/>
        </w:rPr>
        <w:t>日</w:t>
      </w: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bookmarkStart w:id="0" w:name="_GoBack"/>
      <w:bookmarkEnd w:id="0"/>
    </w:p>
    <w:p>
      <w:pPr>
        <w:tabs>
          <w:tab w:val="left" w:pos="5910"/>
        </w:tabs>
        <w:autoSpaceDE w:val="0"/>
        <w:autoSpaceDN w:val="0"/>
        <w:adjustRightInd w:val="0"/>
        <w:spacing w:line="560" w:lineRule="exact"/>
        <w:rPr>
          <w:rFonts w:ascii="Times New Roman" w:hAnsi="Times New Roman"/>
          <w:color w:val="000000"/>
          <w:sz w:val="24"/>
          <w:szCs w:val="24"/>
        </w:rPr>
      </w:pPr>
      <w:r>
        <w:rPr>
          <w:rFonts w:ascii="Times New Roman" w:hAnsi="Times New Roman"/>
          <w:color w:val="000000"/>
          <w:sz w:val="24"/>
          <w:szCs w:val="24"/>
        </w:rPr>
        <w:tab/>
      </w:r>
    </w:p>
    <w:p>
      <w:pPr>
        <w:suppressAutoHyphens/>
        <w:autoSpaceDE w:val="0"/>
        <w:autoSpaceDN w:val="0"/>
        <w:adjustRightInd w:val="0"/>
        <w:snapToGrid w:val="0"/>
        <w:spacing w:line="520" w:lineRule="exact"/>
        <w:rPr>
          <w:rFonts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lang/>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sz w:val="28"/>
          <w:szCs w:val="28"/>
        </w:rPr>
        <w:t>云南</w:t>
      </w:r>
      <w:r>
        <w:rPr>
          <w:rFonts w:ascii="仿宋_GB2312" w:hAnsi="Times New Roman" w:eastAsia="仿宋_GB2312"/>
          <w:sz w:val="28"/>
          <w:szCs w:val="28"/>
        </w:rPr>
        <w:t>省生态环境厅。市生态环境局寻甸分局，局机关各处室、各直属单位。云南清蓝源环保科技有限公司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pPr>
      <w:r>
        <w:rPr>
          <w:rFonts w:ascii="Times New Roman" w:hAnsi="Times New Roman"/>
          <w:kern w:val="0"/>
          <w:sz w:val="24"/>
          <w:szCs w:val="24"/>
          <w:lang/>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lang/>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3</w:t>
      </w:r>
      <w:r>
        <w:rPr>
          <w:rFonts w:ascii="Times New Roman" w:hAnsi="Times New Roman" w:eastAsia="仿宋_GB2312"/>
          <w:sz w:val="28"/>
          <w:szCs w:val="28"/>
        </w:rPr>
        <w:t>月</w:t>
      </w:r>
      <w:r>
        <w:rPr>
          <w:rFonts w:hint="eastAsia" w:ascii="Times New Roman" w:hAnsi="Times New Roman" w:eastAsia="仿宋_GB2312"/>
          <w:sz w:val="28"/>
          <w:szCs w:val="28"/>
        </w:rPr>
        <w:t>2</w:t>
      </w:r>
      <w:r>
        <w:rPr>
          <w:rFonts w:ascii="Times New Roman" w:hAnsi="Times New Roman" w:eastAsia="仿宋_GB2312"/>
          <w:sz w:val="28"/>
          <w:szCs w:val="28"/>
        </w:rPr>
        <w:t xml:space="preserve">日印发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lang/>
      </w:rPr>
      <w:t>- 6 -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4788D"/>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7B8"/>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5D2E"/>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0110"/>
    <w:rsid w:val="00331707"/>
    <w:rsid w:val="00331DCD"/>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2B4F"/>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5D09"/>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857"/>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4BC0"/>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4586"/>
    <w:rsid w:val="0084547B"/>
    <w:rsid w:val="00846097"/>
    <w:rsid w:val="0084683C"/>
    <w:rsid w:val="00846CD8"/>
    <w:rsid w:val="008476B4"/>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839"/>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0E11"/>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0C69"/>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1F33"/>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27BB9"/>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97EF0"/>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4B16"/>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51C72"/>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BE435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uiPriority w:val="0"/>
    <w:rPr>
      <w:rFonts w:ascii="宋体" w:hAnsi="Courier New" w:eastAsia="宋体" w:cs="Times New Roman"/>
      <w:kern w:val="2"/>
      <w:sz w:val="21"/>
    </w:rPr>
  </w:style>
  <w:style w:type="paragraph" w:customStyle="1" w:styleId="18">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2026-03-02T03:01:00Z</dcterms:created>
  <dc:creator>李敏</dc:creator>
  <cp:lastModifiedBy>李敏</cp:lastModifiedBy>
  <dcterms:modified xsi:type="dcterms:W3CDTF">2026-03-02T03:02:57Z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