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20</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w:t>
      </w:r>
    </w:p>
    <w:p>
      <w:pPr>
        <w:spacing w:line="700" w:lineRule="exact"/>
        <w:jc w:val="center"/>
        <w:rPr>
          <w:rFonts w:ascii="Times New Roman" w:hAnsi="方正小标宋_GBK" w:eastAsia="方正小标宋_GBK"/>
          <w:sz w:val="48"/>
          <w:szCs w:val="48"/>
        </w:rPr>
      </w:pPr>
      <w:r>
        <w:rPr>
          <w:rFonts w:ascii="方正小标宋简体" w:hAnsi="方正小标宋简体" w:eastAsia="方正小标宋简体"/>
          <w:sz w:val="44"/>
          <w:szCs w:val="44"/>
        </w:rPr>
        <w:t>关于对《</w:t>
      </w:r>
      <w:r>
        <w:rPr>
          <w:rFonts w:ascii="Times New Roman" w:hAnsi="Times New Roman" w:eastAsia="方正小标宋_GBK"/>
          <w:sz w:val="48"/>
          <w:szCs w:val="48"/>
        </w:rPr>
        <w:t>70</w:t>
      </w:r>
      <w:r>
        <w:rPr>
          <w:rFonts w:ascii="方正小标宋_GBK" w:hAnsi="方正小标宋_GBK" w:eastAsia="方正小标宋_GBK"/>
          <w:sz w:val="48"/>
          <w:szCs w:val="48"/>
        </w:rPr>
        <w:t>吨</w:t>
      </w:r>
      <w:r>
        <w:rPr>
          <w:rFonts w:ascii="Times New Roman" w:hAnsi="Times New Roman" w:eastAsia="方正小标宋_GBK"/>
          <w:sz w:val="48"/>
          <w:szCs w:val="48"/>
        </w:rPr>
        <w:t>/</w:t>
      </w:r>
      <w:r>
        <w:rPr>
          <w:rFonts w:ascii="方正小标宋_GBK" w:hAnsi="方正小标宋_GBK" w:eastAsia="方正小标宋_GBK"/>
          <w:sz w:val="48"/>
          <w:szCs w:val="48"/>
        </w:rPr>
        <w:t>年烟用香精生产加工</w:t>
      </w:r>
    </w:p>
    <w:p>
      <w:pPr>
        <w:spacing w:line="700" w:lineRule="exact"/>
        <w:jc w:val="center"/>
        <w:rPr>
          <w:rFonts w:ascii="Times New Roman" w:hAnsi="Times New Roman" w:eastAsia="方正小标宋简体"/>
          <w:sz w:val="44"/>
          <w:szCs w:val="44"/>
        </w:rPr>
      </w:pPr>
      <w:r>
        <w:rPr>
          <w:rFonts w:ascii="方正小标宋_GBK" w:hAnsi="方正小标宋_GBK" w:eastAsia="方正小标宋_GBK"/>
          <w:sz w:val="48"/>
          <w:szCs w:val="48"/>
        </w:rPr>
        <w:t>建设项目环境影响报告表</w:t>
      </w:r>
      <w:r>
        <w:rPr>
          <w:rFonts w:ascii="方正小标宋简体" w:hAnsi="方正小标宋简体" w:eastAsia="方正小标宋简体"/>
          <w:sz w:val="44"/>
          <w:szCs w:val="44"/>
        </w:rPr>
        <w:t>》的批复</w:t>
      </w:r>
    </w:p>
    <w:p>
      <w:pPr>
        <w:spacing w:line="700" w:lineRule="exact"/>
        <w:rPr>
          <w:rFonts w:ascii="Times New Roman" w:hAnsi="Times New Roman"/>
          <w:sz w:val="32"/>
          <w:szCs w:val="32"/>
        </w:rPr>
      </w:pPr>
      <w:r>
        <w:rPr>
          <w:rFonts w:ascii="Times New Roman" w:hAnsi="Times New Roman"/>
          <w:sz w:val="32"/>
          <w:szCs w:val="32"/>
        </w:rPr>
        <w:t xml:space="preserve"> </w:t>
      </w:r>
    </w:p>
    <w:p>
      <w:pPr>
        <w:spacing w:line="560" w:lineRule="exact"/>
        <w:rPr>
          <w:rFonts w:ascii="Times New Roman" w:hAnsi="Times New Roman" w:eastAsia="仿宋_GB2312"/>
          <w:sz w:val="32"/>
          <w:szCs w:val="32"/>
          <w:highlight w:val="yellow"/>
        </w:rPr>
      </w:pPr>
      <w:r>
        <w:rPr>
          <w:rFonts w:ascii="仿宋_GB2312" w:hAnsi="仿宋_GB2312" w:eastAsia="仿宋_GB2312"/>
          <w:sz w:val="32"/>
          <w:szCs w:val="32"/>
        </w:rPr>
        <w:t>云南翰彩生物科技有限公司：</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你单位委托云南万昆环保科技有限公司编制的《</w:t>
      </w:r>
      <w:r>
        <w:rPr>
          <w:rFonts w:ascii="Times New Roman" w:hAnsi="Times New Roman" w:eastAsia="仿宋_GB2312"/>
          <w:sz w:val="32"/>
          <w:szCs w:val="32"/>
        </w:rPr>
        <w:t>70</w:t>
      </w:r>
      <w:r>
        <w:rPr>
          <w:rFonts w:ascii="仿宋_GB2312" w:hAnsi="仿宋_GB2312" w:eastAsia="仿宋_GB2312"/>
          <w:sz w:val="32"/>
          <w:szCs w:val="32"/>
        </w:rPr>
        <w:t>吨</w:t>
      </w:r>
      <w:r>
        <w:rPr>
          <w:rFonts w:ascii="Times New Roman" w:hAnsi="Times New Roman" w:eastAsia="仿宋_GB2312"/>
          <w:sz w:val="32"/>
          <w:szCs w:val="32"/>
        </w:rPr>
        <w:t>/</w:t>
      </w:r>
      <w:r>
        <w:rPr>
          <w:rFonts w:ascii="仿宋_GB2312" w:hAnsi="仿宋_GB2312" w:eastAsia="仿宋_GB2312"/>
          <w:sz w:val="32"/>
          <w:szCs w:val="32"/>
        </w:rPr>
        <w:t>年烟用香精生产加工建设项目环境影响报告表》（以下简称《报告表》）收悉。根据《中华人民共和国环境影响评价法》第二十二条、《建设项目环境保护管理条例》第九条，经研究，批复如下：</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项目建设地点位于云南滇中新区大板桥街道长水社区中关村电子城</w:t>
      </w:r>
      <w:r>
        <w:rPr>
          <w:rFonts w:hint="eastAsia" w:ascii="仿宋_GB2312" w:hAnsi="Times New Roman" w:eastAsia="仿宋_GB2312"/>
          <w:sz w:val="32"/>
          <w:szCs w:val="32"/>
        </w:rPr>
        <w:t>（</w:t>
      </w:r>
      <w:r>
        <w:rPr>
          <w:rFonts w:ascii="仿宋_GB2312" w:hAnsi="仿宋_GB2312" w:eastAsia="仿宋_GB2312"/>
          <w:sz w:val="32"/>
          <w:szCs w:val="32"/>
        </w:rPr>
        <w:t>昆明</w:t>
      </w:r>
      <w:r>
        <w:rPr>
          <w:rFonts w:hint="eastAsia" w:ascii="仿宋_GB2312" w:hAnsi="Times New Roman" w:eastAsia="仿宋_GB2312"/>
          <w:sz w:val="32"/>
          <w:szCs w:val="32"/>
        </w:rPr>
        <w:t>）</w:t>
      </w:r>
      <w:r>
        <w:rPr>
          <w:rFonts w:ascii="仿宋_GB2312" w:hAnsi="仿宋_GB2312" w:eastAsia="仿宋_GB2312"/>
          <w:sz w:val="32"/>
          <w:szCs w:val="32"/>
        </w:rPr>
        <w:t>科技产业园二期</w:t>
      </w:r>
      <w:r>
        <w:rPr>
          <w:rFonts w:ascii="Times New Roman" w:hAnsi="Times New Roman" w:eastAsia="仿宋_GB2312"/>
          <w:sz w:val="32"/>
          <w:szCs w:val="32"/>
        </w:rPr>
        <w:t>43</w:t>
      </w:r>
      <w:r>
        <w:rPr>
          <w:rFonts w:ascii="仿宋_GB2312" w:hAnsi="仿宋_GB2312" w:eastAsia="仿宋_GB2312"/>
          <w:sz w:val="32"/>
          <w:szCs w:val="32"/>
        </w:rPr>
        <w:t>号地块</w:t>
      </w:r>
      <w:r>
        <w:rPr>
          <w:rFonts w:ascii="Times New Roman" w:hAnsi="Times New Roman" w:eastAsia="仿宋_GB2312"/>
          <w:sz w:val="32"/>
          <w:szCs w:val="32"/>
        </w:rPr>
        <w:t>12</w:t>
      </w:r>
      <w:r>
        <w:rPr>
          <w:rFonts w:ascii="仿宋_GB2312" w:hAnsi="仿宋_GB2312" w:eastAsia="仿宋_GB2312"/>
          <w:sz w:val="32"/>
          <w:szCs w:val="32"/>
        </w:rPr>
        <w:t>幢</w:t>
      </w:r>
      <w:r>
        <w:rPr>
          <w:rFonts w:ascii="Times New Roman" w:hAnsi="Times New Roman" w:eastAsia="仿宋_GB2312"/>
          <w:sz w:val="32"/>
          <w:szCs w:val="32"/>
        </w:rPr>
        <w:t>2</w:t>
      </w:r>
      <w:r>
        <w:rPr>
          <w:rFonts w:ascii="仿宋_GB2312" w:hAnsi="仿宋_GB2312" w:eastAsia="仿宋_GB2312"/>
          <w:sz w:val="32"/>
          <w:szCs w:val="32"/>
        </w:rPr>
        <w:t>层</w:t>
      </w:r>
      <w:r>
        <w:rPr>
          <w:rFonts w:ascii="Times New Roman" w:hAnsi="Times New Roman" w:eastAsia="仿宋_GB2312"/>
          <w:sz w:val="32"/>
          <w:szCs w:val="32"/>
        </w:rPr>
        <w:t>202</w:t>
      </w:r>
      <w:r>
        <w:rPr>
          <w:rFonts w:ascii="仿宋_GB2312" w:hAnsi="仿宋_GB2312" w:eastAsia="仿宋_GB2312"/>
          <w:sz w:val="32"/>
          <w:szCs w:val="32"/>
        </w:rPr>
        <w:t>号厂房</w:t>
      </w:r>
      <w:r>
        <w:rPr>
          <w:rFonts w:hint="eastAsia" w:ascii="仿宋_GB2312" w:hAnsi="Times New Roman" w:eastAsia="仿宋_GB2312"/>
          <w:sz w:val="32"/>
          <w:szCs w:val="32"/>
        </w:rPr>
        <w:t>，</w:t>
      </w:r>
      <w:r>
        <w:rPr>
          <w:rFonts w:ascii="仿宋_GB2312" w:hAnsi="仿宋_GB2312" w:eastAsia="仿宋_GB2312"/>
          <w:sz w:val="32"/>
          <w:szCs w:val="32"/>
        </w:rPr>
        <w:t>租用昆明中宝龙生物技术有限公司闲置的标准厂房进行建设，建筑面积约为</w:t>
      </w:r>
      <w:r>
        <w:rPr>
          <w:rFonts w:ascii="Times New Roman" w:hAnsi="Times New Roman" w:eastAsia="仿宋_GB2312"/>
          <w:sz w:val="32"/>
          <w:szCs w:val="32"/>
        </w:rPr>
        <w:t>461.56</w:t>
      </w:r>
      <w:r>
        <w:rPr>
          <w:rFonts w:hint="eastAsia" w:ascii="Times New Roman" w:hAnsi="Times New Roman" w:eastAsia="仿宋_GB2312"/>
          <w:sz w:val="32"/>
          <w:szCs w:val="32"/>
        </w:rPr>
        <w:t>m</w:t>
      </w:r>
      <w:r>
        <w:rPr>
          <w:rFonts w:hint="eastAsia" w:ascii="Times New Roman" w:hAnsi="Times New Roman" w:eastAsia="仿宋_GB2312"/>
          <w:sz w:val="32"/>
          <w:szCs w:val="32"/>
          <w:vertAlign w:val="superscript"/>
        </w:rPr>
        <w:t>2</w:t>
      </w:r>
      <w:r>
        <w:rPr>
          <w:rFonts w:ascii="仿宋_GB2312" w:hAnsi="仿宋_GB2312" w:eastAsia="仿宋_GB2312"/>
          <w:sz w:val="32"/>
          <w:szCs w:val="32"/>
        </w:rPr>
        <w:t>，主要建设一条烟用香精生产线，利用</w:t>
      </w:r>
      <w:r>
        <w:rPr>
          <w:rFonts w:ascii="Times New Roman" w:hAnsi="Times New Roman" w:eastAsia="仿宋_GB2312"/>
          <w:sz w:val="32"/>
          <w:szCs w:val="32"/>
        </w:rPr>
        <w:t>4</w:t>
      </w:r>
      <w:r>
        <w:rPr>
          <w:rFonts w:ascii="仿宋_GB2312" w:hAnsi="仿宋_GB2312" w:eastAsia="仿宋_GB2312"/>
          <w:sz w:val="32"/>
          <w:szCs w:val="32"/>
        </w:rPr>
        <w:t>个调配罐进行混合搅拌、静置陈化及过滤生产烟用香精。项目年产</w:t>
      </w:r>
      <w:r>
        <w:rPr>
          <w:rFonts w:ascii="Times New Roman" w:hAnsi="Times New Roman" w:eastAsia="仿宋_GB2312"/>
          <w:sz w:val="32"/>
          <w:szCs w:val="32"/>
        </w:rPr>
        <w:t>70</w:t>
      </w:r>
      <w:r>
        <w:rPr>
          <w:rFonts w:ascii="仿宋_GB2312" w:hAnsi="仿宋_GB2312" w:eastAsia="仿宋_GB2312"/>
          <w:sz w:val="32"/>
          <w:szCs w:val="32"/>
        </w:rPr>
        <w:t>吨烟用香精，其中年产</w:t>
      </w:r>
      <w:r>
        <w:rPr>
          <w:rFonts w:ascii="Times New Roman" w:hAnsi="Times New Roman" w:eastAsia="仿宋_GB2312"/>
          <w:sz w:val="32"/>
          <w:szCs w:val="32"/>
        </w:rPr>
        <w:t>10</w:t>
      </w:r>
      <w:r>
        <w:rPr>
          <w:rFonts w:ascii="仿宋_GB2312" w:hAnsi="仿宋_GB2312" w:eastAsia="仿宋_GB2312"/>
          <w:sz w:val="32"/>
          <w:szCs w:val="32"/>
        </w:rPr>
        <w:t>吨甜润香精、年产</w:t>
      </w:r>
      <w:r>
        <w:rPr>
          <w:rFonts w:ascii="Times New Roman" w:hAnsi="Times New Roman" w:eastAsia="仿宋_GB2312"/>
          <w:sz w:val="32"/>
          <w:szCs w:val="32"/>
        </w:rPr>
        <w:t>15</w:t>
      </w:r>
      <w:r>
        <w:rPr>
          <w:rFonts w:ascii="仿宋_GB2312" w:hAnsi="仿宋_GB2312" w:eastAsia="仿宋_GB2312"/>
          <w:sz w:val="32"/>
          <w:szCs w:val="32"/>
        </w:rPr>
        <w:t>吨增甜香基、年产</w:t>
      </w:r>
      <w:r>
        <w:rPr>
          <w:rFonts w:ascii="Times New Roman" w:hAnsi="Times New Roman" w:eastAsia="仿宋_GB2312"/>
          <w:sz w:val="32"/>
          <w:szCs w:val="32"/>
        </w:rPr>
        <w:t>25</w:t>
      </w:r>
      <w:r>
        <w:rPr>
          <w:rFonts w:ascii="仿宋_GB2312" w:hAnsi="仿宋_GB2312" w:eastAsia="仿宋_GB2312"/>
          <w:sz w:val="32"/>
          <w:szCs w:val="32"/>
        </w:rPr>
        <w:t>吨甜润模块、年产</w:t>
      </w:r>
      <w:r>
        <w:rPr>
          <w:rFonts w:ascii="Times New Roman" w:hAnsi="Times New Roman" w:eastAsia="仿宋_GB2312"/>
          <w:sz w:val="32"/>
          <w:szCs w:val="32"/>
        </w:rPr>
        <w:t>20</w:t>
      </w:r>
      <w:r>
        <w:rPr>
          <w:rFonts w:ascii="仿宋_GB2312" w:hAnsi="仿宋_GB2312" w:eastAsia="仿宋_GB2312"/>
          <w:sz w:val="32"/>
          <w:szCs w:val="32"/>
        </w:rPr>
        <w:t>吨除杂香基。</w:t>
      </w:r>
    </w:p>
    <w:p>
      <w:pPr>
        <w:spacing w:line="560" w:lineRule="exact"/>
        <w:ind w:firstLine="640" w:firstLineChars="200"/>
        <w:rPr>
          <w:rFonts w:ascii="Times New Roman" w:hAnsi="Times New Roman" w:eastAsia="仿宋_GB2312"/>
          <w:kern w:val="0"/>
          <w:sz w:val="32"/>
          <w:szCs w:val="32"/>
        </w:rPr>
      </w:pPr>
      <w:r>
        <w:rPr>
          <w:rFonts w:ascii="仿宋_GB2312" w:hAnsi="仿宋_GB2312" w:eastAsia="仿宋_GB2312"/>
          <w:kern w:val="0"/>
          <w:sz w:val="32"/>
          <w:szCs w:val="32"/>
        </w:rPr>
        <w:t>项目总投资</w:t>
      </w:r>
      <w:r>
        <w:rPr>
          <w:rFonts w:ascii="Times New Roman" w:hAnsi="Times New Roman" w:eastAsia="仿宋_GB2312"/>
          <w:bCs/>
          <w:sz w:val="32"/>
          <w:szCs w:val="32"/>
        </w:rPr>
        <w:t>60</w:t>
      </w:r>
      <w:r>
        <w:rPr>
          <w:rFonts w:ascii="仿宋_GB2312" w:hAnsi="仿宋_GB2312" w:eastAsia="仿宋_GB2312"/>
          <w:bCs/>
          <w:sz w:val="32"/>
          <w:szCs w:val="32"/>
        </w:rPr>
        <w:t>万元，环保投资</w:t>
      </w:r>
      <w:r>
        <w:rPr>
          <w:rFonts w:ascii="Times New Roman" w:hAnsi="Times New Roman" w:eastAsia="仿宋_GB2312"/>
          <w:bCs/>
          <w:sz w:val="32"/>
          <w:szCs w:val="32"/>
        </w:rPr>
        <w:t>13.05</w:t>
      </w:r>
      <w:r>
        <w:rPr>
          <w:rFonts w:ascii="仿宋_GB2312" w:hAnsi="仿宋_GB2312" w:eastAsia="仿宋_GB2312"/>
          <w:bCs/>
          <w:sz w:val="32"/>
          <w:szCs w:val="32"/>
        </w:rPr>
        <w:t>万元</w:t>
      </w:r>
      <w:r>
        <w:rPr>
          <w:rFonts w:ascii="仿宋_GB2312" w:hAnsi="仿宋_GB2312" w:eastAsia="仿宋_GB2312"/>
          <w:kern w:val="0"/>
          <w:sz w:val="32"/>
          <w:szCs w:val="32"/>
        </w:rPr>
        <w:t>。</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根据昆明市生态环境工程评估中心出具的《关于对〈</w:t>
      </w:r>
      <w:r>
        <w:rPr>
          <w:rFonts w:ascii="Times New Roman" w:hAnsi="Times New Roman" w:eastAsia="仿宋_GB2312"/>
          <w:sz w:val="32"/>
          <w:szCs w:val="32"/>
        </w:rPr>
        <w:t>70</w:t>
      </w:r>
      <w:r>
        <w:rPr>
          <w:rFonts w:ascii="仿宋_GB2312" w:hAnsi="仿宋_GB2312" w:eastAsia="仿宋_GB2312"/>
          <w:sz w:val="32"/>
          <w:szCs w:val="32"/>
        </w:rPr>
        <w:t>吨</w:t>
      </w:r>
      <w:r>
        <w:rPr>
          <w:rFonts w:ascii="Times New Roman" w:hAnsi="Times New Roman" w:eastAsia="仿宋_GB2312"/>
          <w:sz w:val="32"/>
          <w:szCs w:val="32"/>
        </w:rPr>
        <w:t>/</w:t>
      </w:r>
      <w:r>
        <w:rPr>
          <w:rFonts w:ascii="仿宋_GB2312" w:hAnsi="仿宋_GB2312" w:eastAsia="仿宋_GB2312"/>
          <w:sz w:val="32"/>
          <w:szCs w:val="32"/>
        </w:rPr>
        <w:t>年烟用香精生产加工建设项目环境影响报告表〉的技术评估意见》（昆环评估意见〔</w:t>
      </w:r>
      <w:r>
        <w:rPr>
          <w:rFonts w:ascii="Times New Roman" w:hAnsi="Times New Roman" w:eastAsia="仿宋_GB2312"/>
          <w:sz w:val="32"/>
          <w:szCs w:val="32"/>
        </w:rPr>
        <w:t>2026</w:t>
      </w:r>
      <w:r>
        <w:rPr>
          <w:rFonts w:ascii="仿宋_GB2312" w:hAnsi="仿宋_GB2312" w:eastAsia="仿宋_GB2312"/>
          <w:sz w:val="32"/>
          <w:szCs w:val="32"/>
        </w:rPr>
        <w:t>〕</w:t>
      </w:r>
      <w:r>
        <w:rPr>
          <w:rFonts w:ascii="Times New Roman" w:hAnsi="Times New Roman" w:eastAsia="仿宋_GB2312"/>
          <w:sz w:val="32"/>
          <w:szCs w:val="32"/>
        </w:rPr>
        <w:t>20-2</w:t>
      </w:r>
      <w:r>
        <w:rPr>
          <w:rFonts w:ascii="仿宋_GB2312" w:hAnsi="仿宋_GB2312" w:eastAsia="仿宋_GB2312"/>
          <w:sz w:val="32"/>
          <w:szCs w:val="32"/>
        </w:rPr>
        <w:t>号），在全面落实《报告表》提出的各项生态保护和污染防治措施后，项目建设和运营的不良环境影响可以得到缓解和控制，同意项目按《报告表》所述工程内容、规模、功能、环保对策措施进行建设。</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二、项目建设及营运期间重点做好以下工作</w:t>
      </w:r>
    </w:p>
    <w:p>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10"/>
          <w:sz w:val="32"/>
          <w:szCs w:val="32"/>
        </w:rPr>
        <w:t>的原则建设给排水、污水处理及回用系统，与区域排水系统相协调。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w:t>
      </w:r>
      <w:r>
        <w:rPr>
          <w:rFonts w:ascii="仿宋_GB2312" w:hAnsi="仿宋_GB2312" w:eastAsia="仿宋_GB2312"/>
          <w:sz w:val="32"/>
          <w:szCs w:val="32"/>
        </w:rPr>
        <w:t>生产废水经一体化污水处理设备</w:t>
      </w:r>
      <w:r>
        <w:rPr>
          <w:rFonts w:hint="eastAsia" w:ascii="仿宋_GB2312" w:hAnsi="仿宋_GB2312" w:eastAsia="仿宋_GB2312"/>
          <w:sz w:val="32"/>
          <w:szCs w:val="32"/>
        </w:rPr>
        <w:t>处理达《污水综合排放标准》（GB8978-1996）表4三级标准后</w:t>
      </w:r>
      <w:r>
        <w:rPr>
          <w:rFonts w:ascii="仿宋_GB2312" w:hAnsi="仿宋_GB2312" w:eastAsia="仿宋_GB2312"/>
          <w:sz w:val="32"/>
          <w:szCs w:val="32"/>
        </w:rPr>
        <w:t>，通过园区污水管网进入滇中临空产业园工业污水处理厂进行处理。生活污水处理达到《污水综合排放标准》（</w:t>
      </w:r>
      <w:r>
        <w:rPr>
          <w:rFonts w:ascii="Times New Roman" w:hAnsi="Times New Roman" w:eastAsia="仿宋_GB2312"/>
          <w:sz w:val="32"/>
          <w:szCs w:val="32"/>
        </w:rPr>
        <w:t>GB8978-1996</w:t>
      </w:r>
      <w:r>
        <w:rPr>
          <w:rFonts w:ascii="仿宋_GB2312" w:hAnsi="仿宋_GB2312" w:eastAsia="仿宋_GB2312"/>
          <w:sz w:val="32"/>
          <w:szCs w:val="32"/>
        </w:rPr>
        <w:t>）表</w:t>
      </w:r>
      <w:r>
        <w:rPr>
          <w:rFonts w:ascii="Times New Roman" w:hAnsi="Times New Roman" w:eastAsia="仿宋_GB2312"/>
          <w:sz w:val="32"/>
          <w:szCs w:val="32"/>
        </w:rPr>
        <w:t>4</w:t>
      </w:r>
      <w:r>
        <w:rPr>
          <w:rFonts w:ascii="仿宋_GB2312" w:hAnsi="仿宋_GB2312" w:eastAsia="仿宋_GB2312"/>
          <w:sz w:val="32"/>
          <w:szCs w:val="32"/>
        </w:rPr>
        <w:t>三级标准后，通过市政管网进入秧草凹污水处理厂处理。</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w:t>
      </w:r>
      <w:r>
        <w:rPr>
          <w:rFonts w:ascii="仿宋_GB2312" w:hAnsi="仿宋_GB2312" w:eastAsia="仿宋_GB2312"/>
          <w:sz w:val="32"/>
          <w:szCs w:val="32"/>
        </w:rPr>
        <w:t>施工期生活污水经园区配套建设的化粪池处理后经园区污水管网排入秧草凹污水处理厂进行处理</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项目共设置</w:t>
      </w:r>
      <w:r>
        <w:rPr>
          <w:rFonts w:ascii="Times New Roman" w:hAnsi="Times New Roman" w:eastAsia="仿宋_GB2312"/>
          <w:sz w:val="32"/>
          <w:szCs w:val="32"/>
        </w:rPr>
        <w:t>1</w:t>
      </w:r>
      <w:r>
        <w:rPr>
          <w:rFonts w:ascii="仿宋_GB2312" w:hAnsi="Times New Roman" w:eastAsia="仿宋_GB2312"/>
          <w:sz w:val="32"/>
          <w:szCs w:val="32"/>
        </w:rPr>
        <w:t>根排气筒</w:t>
      </w:r>
      <w:r>
        <w:rPr>
          <w:rFonts w:hint="eastAsia" w:ascii="仿宋_GB2312" w:hAnsi="Times New Roman" w:eastAsia="仿宋_GB2312"/>
          <w:sz w:val="32"/>
          <w:szCs w:val="32"/>
        </w:rPr>
        <w:t>，高度不低于</w:t>
      </w:r>
      <w:r>
        <w:rPr>
          <w:rFonts w:hint="eastAsia" w:ascii="Times New Roman" w:hAnsi="Times New Roman" w:eastAsia="仿宋_GB2312"/>
          <w:sz w:val="32"/>
          <w:szCs w:val="32"/>
        </w:rPr>
        <w:t>30m</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w:t>
      </w:r>
      <w:r>
        <w:rPr>
          <w:rFonts w:ascii="仿宋_GB2312" w:hAnsi="仿宋_GB2312" w:eastAsia="仿宋_GB2312"/>
          <w:sz w:val="32"/>
          <w:szCs w:val="32"/>
        </w:rPr>
        <w:t>非甲烷总烃</w:t>
      </w:r>
      <w:r>
        <w:rPr>
          <w:rFonts w:hint="eastAsia" w:ascii="仿宋_GB2312" w:eastAsia="仿宋_GB2312"/>
          <w:sz w:val="32"/>
          <w:szCs w:val="32"/>
        </w:rPr>
        <w:t>有组织</w:t>
      </w:r>
      <w:r>
        <w:rPr>
          <w:rFonts w:ascii="仿宋_GB2312" w:hAnsi="仿宋_GB2312" w:eastAsia="仿宋_GB2312"/>
          <w:sz w:val="32"/>
          <w:szCs w:val="32"/>
        </w:rPr>
        <w:t>排放执行《大气污染物综合排放标准》（</w:t>
      </w:r>
      <w:r>
        <w:rPr>
          <w:rFonts w:ascii="Times New Roman" w:hAnsi="Times New Roman" w:eastAsia="仿宋_GB2312"/>
          <w:sz w:val="32"/>
          <w:szCs w:val="32"/>
        </w:rPr>
        <w:t>GB16297-1996</w:t>
      </w:r>
      <w:r>
        <w:rPr>
          <w:rFonts w:ascii="仿宋_GB2312" w:hAnsi="仿宋_GB2312" w:eastAsia="仿宋_GB2312"/>
          <w:sz w:val="32"/>
          <w:szCs w:val="32"/>
        </w:rPr>
        <w:t>）表</w:t>
      </w:r>
      <w:r>
        <w:rPr>
          <w:rFonts w:ascii="Times New Roman" w:hAnsi="Times New Roman" w:eastAsia="仿宋_GB2312"/>
          <w:sz w:val="32"/>
          <w:szCs w:val="32"/>
        </w:rPr>
        <w:t>2</w:t>
      </w:r>
      <w:r>
        <w:rPr>
          <w:rFonts w:ascii="仿宋_GB2312" w:hAnsi="仿宋_GB2312" w:eastAsia="仿宋_GB2312"/>
          <w:sz w:val="32"/>
          <w:szCs w:val="32"/>
        </w:rPr>
        <w:t>二级标准限值。</w:t>
      </w:r>
    </w:p>
    <w:p>
      <w:pPr>
        <w:spacing w:line="560" w:lineRule="exact"/>
        <w:ind w:firstLine="640" w:firstLineChars="200"/>
        <w:rPr>
          <w:rFonts w:ascii="Times New Roman" w:eastAsia="仿宋_GB2312"/>
          <w:sz w:val="32"/>
          <w:szCs w:val="32"/>
        </w:rPr>
      </w:pPr>
      <w:r>
        <w:rPr>
          <w:rFonts w:ascii="仿宋_GB2312" w:hAnsi="仿宋_GB2312" w:eastAsia="仿宋_GB2312"/>
          <w:sz w:val="32"/>
          <w:szCs w:val="32"/>
        </w:rPr>
        <w:t>厂界无组织非甲烷总烃</w:t>
      </w:r>
      <w:r>
        <w:rPr>
          <w:rFonts w:hint="eastAsia" w:ascii="仿宋_GB2312" w:eastAsia="仿宋_GB2312"/>
          <w:sz w:val="32"/>
          <w:szCs w:val="32"/>
        </w:rPr>
        <w:t>排放</w:t>
      </w:r>
      <w:r>
        <w:rPr>
          <w:rFonts w:ascii="仿宋_GB2312" w:hAnsi="仿宋_GB2312" w:eastAsia="仿宋_GB2312"/>
          <w:sz w:val="32"/>
          <w:szCs w:val="32"/>
        </w:rPr>
        <w:t>执行《大气污染物综合排放标准》（</w:t>
      </w:r>
      <w:r>
        <w:rPr>
          <w:rFonts w:ascii="Times New Roman" w:hAnsi="Times New Roman" w:eastAsia="仿宋_GB2312"/>
          <w:sz w:val="32"/>
          <w:szCs w:val="32"/>
        </w:rPr>
        <w:t>GB16297-1996</w:t>
      </w:r>
      <w:r>
        <w:rPr>
          <w:rFonts w:ascii="仿宋_GB2312" w:hAnsi="仿宋_GB2312" w:eastAsia="仿宋_GB2312"/>
          <w:sz w:val="32"/>
          <w:szCs w:val="32"/>
        </w:rPr>
        <w:t>）表</w:t>
      </w:r>
      <w:r>
        <w:rPr>
          <w:rFonts w:ascii="Times New Roman" w:hAnsi="Times New Roman" w:eastAsia="仿宋_GB2312"/>
          <w:sz w:val="32"/>
          <w:szCs w:val="32"/>
        </w:rPr>
        <w:t>2</w:t>
      </w:r>
      <w:r>
        <w:rPr>
          <w:rFonts w:ascii="仿宋_GB2312" w:hAnsi="仿宋_GB2312" w:eastAsia="仿宋_GB2312"/>
          <w:sz w:val="32"/>
          <w:szCs w:val="32"/>
        </w:rPr>
        <w:t>无组织排放监控浓度限值</w:t>
      </w:r>
      <w:r>
        <w:rPr>
          <w:rFonts w:hint="eastAsia" w:ascii="仿宋_GB2312" w:eastAsia="仿宋_GB2312"/>
          <w:sz w:val="32"/>
          <w:szCs w:val="32"/>
        </w:rPr>
        <w:t>。</w:t>
      </w:r>
    </w:p>
    <w:p>
      <w:pPr>
        <w:spacing w:line="560" w:lineRule="exact"/>
        <w:ind w:firstLine="640" w:firstLineChars="200"/>
        <w:rPr>
          <w:rFonts w:hint="eastAsia" w:ascii="Times New Roman" w:hAnsi="Times New Roman" w:eastAsia="仿宋_GB2312"/>
          <w:sz w:val="32"/>
          <w:szCs w:val="32"/>
        </w:rPr>
      </w:pPr>
      <w:r>
        <w:rPr>
          <w:rFonts w:ascii="仿宋_GB2312" w:hAnsi="仿宋_GB2312" w:eastAsia="仿宋_GB2312"/>
          <w:sz w:val="32"/>
          <w:szCs w:val="32"/>
        </w:rPr>
        <w:t>厂区内无组织排放挥发性有机物执行《挥发性有机物无组织排放控制标准》（</w:t>
      </w:r>
      <w:r>
        <w:rPr>
          <w:rFonts w:ascii="Times New Roman" w:hAnsi="Times New Roman" w:eastAsia="仿宋_GB2312"/>
          <w:sz w:val="32"/>
          <w:szCs w:val="32"/>
        </w:rPr>
        <w:t>GB37822-2019</w:t>
      </w:r>
      <w:r>
        <w:rPr>
          <w:rFonts w:ascii="仿宋_GB2312" w:hAnsi="仿宋_GB2312" w:eastAsia="仿宋_GB2312"/>
          <w:sz w:val="32"/>
          <w:szCs w:val="32"/>
        </w:rPr>
        <w:t>）附录</w:t>
      </w:r>
      <w:r>
        <w:rPr>
          <w:rFonts w:ascii="Times New Roman" w:hAnsi="Times New Roman" w:eastAsia="仿宋_GB2312"/>
          <w:sz w:val="32"/>
          <w:szCs w:val="32"/>
        </w:rPr>
        <w:t>A.1</w:t>
      </w:r>
      <w:r>
        <w:rPr>
          <w:rFonts w:ascii="仿宋_GB2312" w:hAnsi="仿宋_GB2312" w:eastAsia="仿宋_GB2312"/>
          <w:sz w:val="32"/>
          <w:szCs w:val="32"/>
        </w:rPr>
        <w:t>限值要求。</w:t>
      </w:r>
    </w:p>
    <w:p>
      <w:pPr>
        <w:autoSpaceDE w:val="0"/>
        <w:spacing w:line="560" w:lineRule="exact"/>
        <w:ind w:firstLine="640" w:firstLineChars="200"/>
        <w:rPr>
          <w:rFonts w:ascii="Times New Roman"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施工扬尘执行《大气污染物综合排放标准》（</w:t>
      </w:r>
      <w:r>
        <w:rPr>
          <w:rFonts w:ascii="Times New Roman" w:hAnsi="Times New Roman" w:eastAsia="仿宋_GB2312"/>
          <w:sz w:val="32"/>
          <w:szCs w:val="32"/>
          <w:shd w:val="clear" w:color="auto" w:fill="FFFFFF"/>
        </w:rPr>
        <w:t>GB16297-1996</w:t>
      </w:r>
      <w:r>
        <w:rPr>
          <w:rFonts w:hint="eastAsia" w:ascii="仿宋_GB2312" w:hAnsi="Times New Roman" w:eastAsia="仿宋_GB2312"/>
          <w:sz w:val="32"/>
          <w:szCs w:val="32"/>
          <w:shd w:val="clear" w:color="auto" w:fill="FFFFFF"/>
        </w:rPr>
        <w:t>）表</w:t>
      </w:r>
      <w:r>
        <w:rPr>
          <w:rFonts w:ascii="Times New Roman" w:hAnsi="Times New Roman" w:eastAsia="仿宋_GB2312"/>
          <w:sz w:val="32"/>
          <w:szCs w:val="32"/>
          <w:shd w:val="clear" w:color="auto" w:fill="FFFFFF"/>
        </w:rPr>
        <w:t>2</w:t>
      </w:r>
      <w:r>
        <w:rPr>
          <w:rFonts w:hint="eastAsia" w:ascii="仿宋_GB2312" w:hAnsi="Times New Roman" w:eastAsia="仿宋_GB2312"/>
          <w:sz w:val="32"/>
          <w:szCs w:val="32"/>
          <w:shd w:val="clear" w:color="auto" w:fill="FFFFFF"/>
        </w:rPr>
        <w:t>无组织排放监控浓度限值。</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项目运营期厂界昼间噪声执行《工业企业厂界环境噪声排放标准》（</w:t>
      </w:r>
      <w:r>
        <w:rPr>
          <w:rFonts w:ascii="Times New Roman" w:hAnsi="Times New Roman" w:eastAsia="仿宋_GB2312"/>
          <w:sz w:val="32"/>
          <w:szCs w:val="32"/>
        </w:rPr>
        <w:t>GB12348-2008</w:t>
      </w:r>
      <w:r>
        <w:rPr>
          <w:rFonts w:ascii="仿宋_GB2312" w:hAnsi="仿宋_GB2312" w:eastAsia="仿宋_GB2312"/>
          <w:sz w:val="32"/>
          <w:szCs w:val="32"/>
        </w:rPr>
        <w:t>）中</w:t>
      </w:r>
      <w:r>
        <w:rPr>
          <w:rFonts w:ascii="Times New Roman" w:hAnsi="Times New Roman" w:eastAsia="仿宋_GB2312"/>
          <w:sz w:val="32"/>
          <w:szCs w:val="32"/>
        </w:rPr>
        <w:t>3</w:t>
      </w:r>
      <w:r>
        <w:rPr>
          <w:rFonts w:ascii="仿宋_GB2312" w:hAnsi="仿宋_GB2312" w:eastAsia="仿宋_GB2312"/>
          <w:sz w:val="32"/>
          <w:szCs w:val="32"/>
        </w:rPr>
        <w:t>类标准</w:t>
      </w:r>
      <w:r>
        <w:rPr>
          <w:rFonts w:hint="eastAsia" w:ascii="仿宋_GB2312" w:eastAsia="仿宋_GB2312"/>
          <w:sz w:val="32"/>
          <w:szCs w:val="32"/>
        </w:rPr>
        <w:t>，夜间不生产</w:t>
      </w:r>
      <w:r>
        <w:rPr>
          <w:rFonts w:ascii="仿宋_GB2312" w:hAnsi="仿宋_GB2312"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施工</w:t>
      </w:r>
      <w:r>
        <w:rPr>
          <w:rFonts w:hint="eastAsia" w:ascii="仿宋_GB2312" w:eastAsia="仿宋_GB2312"/>
          <w:sz w:val="32"/>
          <w:szCs w:val="32"/>
        </w:rPr>
        <w:t>期</w:t>
      </w:r>
      <w:r>
        <w:rPr>
          <w:rFonts w:ascii="仿宋_GB2312" w:hAnsi="仿宋_GB2312" w:eastAsia="仿宋_GB2312"/>
          <w:sz w:val="32"/>
          <w:szCs w:val="32"/>
        </w:rPr>
        <w:t>合理安排施工时间，</w:t>
      </w:r>
      <w:r>
        <w:rPr>
          <w:rFonts w:ascii="仿宋_GB2312" w:hAnsi="Times New Roman" w:eastAsia="仿宋_GB2312"/>
          <w:sz w:val="32"/>
          <w:szCs w:val="32"/>
        </w:rPr>
        <w:t>施工噪声执行《建筑施工噪声排放标准》（</w:t>
      </w:r>
      <w:r>
        <w:rPr>
          <w:rFonts w:ascii="Times New Roman" w:hAnsi="Times New Roman" w:eastAsia="仿宋_GB2312"/>
          <w:sz w:val="32"/>
          <w:szCs w:val="32"/>
        </w:rPr>
        <w:t>GB12523-2025</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原则，对固体废物进行分类规范收集，确保不造成二次污染。建立健全工业固体废物产生、收集、贮存、运输、利用、处置全过程的污染环境防治责任制度。</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sz w:val="32"/>
          <w:szCs w:val="32"/>
        </w:rPr>
        <w:t>项目运营期废包装材料可回收的由厂家回收，不可以回收的外售至废品回收站。废水处理设备污泥、滤渣和废纱布、不合格产品委托有处置能力单位定期清运处置。生活垃圾集中收集后由园区环卫部门清运处置，化粪池污泥由园区环卫部门统一清掏处置。建设单位应按照</w:t>
      </w:r>
      <w:r>
        <w:rPr>
          <w:rFonts w:hint="eastAsia" w:ascii="仿宋_GB2312" w:eastAsia="仿宋_GB2312"/>
          <w:sz w:val="32"/>
          <w:szCs w:val="32"/>
        </w:rPr>
        <w:t>规范</w:t>
      </w:r>
      <w:r>
        <w:rPr>
          <w:rFonts w:ascii="仿宋_GB2312" w:hAnsi="仿宋_GB2312" w:eastAsia="仿宋_GB2312"/>
          <w:sz w:val="32"/>
          <w:szCs w:val="32"/>
        </w:rPr>
        <w:t>要求，建设</w:t>
      </w:r>
      <w:r>
        <w:rPr>
          <w:rFonts w:ascii="Times New Roman" w:hAnsi="Times New Roman" w:eastAsia="仿宋_GB2312"/>
          <w:sz w:val="32"/>
          <w:szCs w:val="32"/>
        </w:rPr>
        <w:t>1</w:t>
      </w:r>
      <w:r>
        <w:rPr>
          <w:rFonts w:ascii="仿宋_GB2312" w:hAnsi="仿宋_GB2312" w:eastAsia="仿宋_GB2312"/>
          <w:sz w:val="32"/>
          <w:szCs w:val="32"/>
        </w:rPr>
        <w:t>间</w:t>
      </w:r>
      <w:r>
        <w:rPr>
          <w:rFonts w:hint="eastAsia" w:ascii="仿宋_GB2312" w:eastAsia="仿宋_GB2312"/>
          <w:sz w:val="32"/>
          <w:szCs w:val="32"/>
        </w:rPr>
        <w:t>规模不小于</w:t>
      </w:r>
      <w:r>
        <w:rPr>
          <w:rFonts w:ascii="Times New Roman" w:hAnsi="Times New Roman" w:eastAsia="仿宋_GB2312"/>
          <w:sz w:val="32"/>
          <w:szCs w:val="32"/>
        </w:rPr>
        <w:t>8m</w:t>
      </w:r>
      <w:r>
        <w:rPr>
          <w:rFonts w:ascii="Times New Roman" w:hAnsi="Times New Roman" w:eastAsia="仿宋_GB2312"/>
          <w:sz w:val="32"/>
          <w:szCs w:val="32"/>
          <w:vertAlign w:val="superscript"/>
        </w:rPr>
        <w:t>2</w:t>
      </w:r>
      <w:r>
        <w:rPr>
          <w:rFonts w:ascii="仿宋_GB2312" w:hAnsi="仿宋_GB2312" w:eastAsia="仿宋_GB2312"/>
          <w:sz w:val="32"/>
          <w:szCs w:val="32"/>
        </w:rPr>
        <w:t>的危险废物暂存间。乙醇废液、废导热油、废活性炭等危险废物统一收集后暂存于危废暂存间内，定期委托有资质单位清运处置。危险废物严格按照</w:t>
      </w:r>
      <w:r>
        <w:rPr>
          <w:rFonts w:hint="eastAsia" w:ascii="仿宋_GB2312" w:eastAsia="仿宋_GB2312"/>
          <w:sz w:val="32"/>
          <w:szCs w:val="32"/>
        </w:rPr>
        <w:t>执行</w:t>
      </w:r>
      <w:r>
        <w:rPr>
          <w:rFonts w:ascii="仿宋_GB2312" w:hAnsi="仿宋_GB2312" w:eastAsia="仿宋_GB2312"/>
          <w:sz w:val="32"/>
          <w:szCs w:val="32"/>
        </w:rPr>
        <w:t>《危险废物贮存污染控制标准》（</w:t>
      </w:r>
      <w:r>
        <w:rPr>
          <w:rFonts w:ascii="Times New Roman" w:hAnsi="Times New Roman" w:eastAsia="仿宋_GB2312"/>
          <w:sz w:val="32"/>
          <w:szCs w:val="32"/>
        </w:rPr>
        <w:t>GB18597-2023</w:t>
      </w:r>
      <w:r>
        <w:rPr>
          <w:rFonts w:ascii="仿宋_GB2312" w:hAnsi="仿宋_GB2312" w:eastAsia="仿宋_GB2312"/>
          <w:sz w:val="32"/>
          <w:szCs w:val="32"/>
        </w:rPr>
        <w:t>）和《危险废物转移联单管理办法》要求。</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（五）加强地下水和土壤污染防治。严格落实地下水污染防治措施，做好危废暂存间重点防渗、生产车间区域一般防渗、其它区域简单防渗，加强管理和监督检查。</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（六）做好环境风险应急管理工作。</w:t>
      </w:r>
      <w:r>
        <w:rPr>
          <w:rFonts w:hint="eastAsia" w:ascii="仿宋_GB2312" w:hAnsi="Times New Roman" w:eastAsia="仿宋_GB2312"/>
          <w:sz w:val="32"/>
          <w:szCs w:val="32"/>
        </w:rPr>
        <w:t>严格执行《报告表》中风险影响评价中的各项防范措施，并建设相应风险防范设施，</w:t>
      </w:r>
      <w:r>
        <w:rPr>
          <w:rFonts w:ascii="仿宋_GB2312" w:hAnsi="Times New Roman" w:eastAsia="仿宋_GB2312"/>
          <w:sz w:val="32"/>
          <w:szCs w:val="32"/>
        </w:rPr>
        <w:t>制定环境风险应急预案并报昆明市生态环境局滇中新区直管区分局备案。</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（七）污染物总量控制指标：非甲烷总烃</w:t>
      </w:r>
      <w:r>
        <w:rPr>
          <w:rFonts w:ascii="Times New Roman" w:hAnsi="Times New Roman" w:eastAsia="仿宋_GB2312"/>
          <w:sz w:val="32"/>
          <w:szCs w:val="32"/>
        </w:rPr>
        <w:t>0.076579t/a</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（八）按照《排污许可管理条例》相关规定，</w:t>
      </w:r>
      <w:r>
        <w:rPr>
          <w:rFonts w:hint="eastAsia" w:ascii="仿宋_GB2312" w:hAnsi="Times New Roman" w:eastAsia="仿宋_GB2312"/>
          <w:sz w:val="32"/>
          <w:szCs w:val="32"/>
        </w:rPr>
        <w:t>纳入固定污染源排污许可管理的，需在项目启动生产设施或发生实际排污前，依法取得排污许可手续</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（九）认真组织实施《报告表》提出的环境监测计划，定期对废气、废水、噪声等进行监测，发现异常立即停产，及时查明原因，采取有效控制措施并向当地人民政府报告。</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制度。项目建成投入试运行后，按规定自主开展竣工环保验收，经验收合格后方可正式投入运行。</w:t>
      </w:r>
    </w:p>
    <w:p>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请市生态环境局滇中新区直管区分局负责组织项目环境现场执法和日常监督管理，请市生态环境保护综合行政执法支队加强监督检查。</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tabs>
          <w:tab w:val="right" w:pos="8618"/>
        </w:tabs>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sz w:val="32"/>
          <w:szCs w:val="32"/>
        </w:rPr>
        <w:tab/>
      </w:r>
    </w:p>
    <w:p>
      <w:pPr>
        <w:spacing w:line="560" w:lineRule="exact"/>
        <w:rPr>
          <w:rFonts w:hint="eastAsia" w:ascii="Times New Roman" w:hAnsi="Times New Roman" w:eastAsia="仿宋_GB2312"/>
          <w:sz w:val="32"/>
          <w:szCs w:val="32"/>
        </w:rPr>
      </w:pPr>
      <w:r>
        <w:rPr>
          <w:rFonts w:ascii="Times New Roman" w:hAnsi="Times New Roman" w:eastAsia="仿宋_GB2312"/>
          <w:sz w:val="32"/>
          <w:szCs w:val="32"/>
        </w:rPr>
        <w:t xml:space="preserve"> </w:t>
      </w:r>
    </w:p>
    <w:p>
      <w:pPr>
        <w:spacing w:line="560" w:lineRule="exact"/>
        <w:rPr>
          <w:rFonts w:hint="eastAsia" w:ascii="Times New Roman" w:hAnsi="Times New Roman" w:eastAsia="仿宋_GB2312"/>
          <w:sz w:val="32"/>
          <w:szCs w:val="32"/>
        </w:rPr>
      </w:pPr>
    </w:p>
    <w:p>
      <w:pPr>
        <w:autoSpaceDE w:val="0"/>
        <w:spacing w:line="560" w:lineRule="exact"/>
        <w:ind w:firstLine="640" w:firstLineChars="20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3</w:t>
      </w:r>
      <w:r>
        <w:rPr>
          <w:rFonts w:ascii="Times New Roman" w:hAnsi="Times New Roman" w:eastAsia="仿宋_GB2312"/>
          <w:sz w:val="32"/>
          <w:szCs w:val="32"/>
        </w:rPr>
        <w:t>月</w:t>
      </w:r>
      <w:r>
        <w:rPr>
          <w:rFonts w:hint="eastAsia" w:ascii="Times New Roman" w:hAnsi="Times New Roman" w:eastAsia="仿宋_GB2312"/>
          <w:sz w:val="32"/>
          <w:szCs w:val="32"/>
        </w:rPr>
        <w:t>2</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直线 10"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ascii="仿宋_GB2312" w:hAnsi="Times New Roman" w:eastAsia="仿宋_GB2312"/>
          <w:kern w:val="0"/>
          <w:sz w:val="28"/>
          <w:szCs w:val="28"/>
        </w:rPr>
        <w:t>云南省生态环境厅。市生态环境局滇中新区直管区分局，局机关</w:t>
      </w:r>
      <w:r>
        <w:rPr>
          <w:rFonts w:ascii="仿宋_GB2312" w:hAnsi="Times New Roman" w:eastAsia="仿宋_GB2312" w:cs="宋体"/>
          <w:kern w:val="0"/>
          <w:sz w:val="28"/>
          <w:szCs w:val="28"/>
        </w:rPr>
        <w:t>各处室、各直属单位。云南万昆环保科技有限公司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pPr>
      <w:r>
        <w:rPr>
          <w:rFonts w:ascii="Times New Roman" w:hAnsi="Times New Roman"/>
          <w:kern w:val="0"/>
          <w:sz w:val="24"/>
          <w:szCs w:val="24"/>
          <w:lang/>
        </w:rPr>
        <w:pict>
          <v:line id="直线 11"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直线 9"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直线 8"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3</w:t>
      </w:r>
      <w:r>
        <w:rPr>
          <w:rFonts w:ascii="Times New Roman" w:hAnsi="Times New Roman" w:eastAsia="仿宋_GB2312"/>
          <w:sz w:val="28"/>
          <w:szCs w:val="28"/>
        </w:rPr>
        <w:t>月</w:t>
      </w:r>
      <w:r>
        <w:rPr>
          <w:rFonts w:hint="eastAsia" w:ascii="Times New Roman" w:hAnsi="Times New Roman" w:eastAsia="仿宋_GB2312"/>
          <w:sz w:val="28"/>
          <w:szCs w:val="28"/>
        </w:rPr>
        <w:t>2</w:t>
      </w:r>
      <w:r>
        <w:rPr>
          <w:rFonts w:ascii="Times New Roman" w:hAnsi="Times New Roman" w:eastAsia="仿宋_GB2312"/>
          <w:sz w:val="28"/>
          <w:szCs w:val="28"/>
        </w:rPr>
        <w:t xml:space="preserve">日印发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16B65"/>
    <w:rsid w:val="0002114C"/>
    <w:rsid w:val="000225F8"/>
    <w:rsid w:val="00024F6A"/>
    <w:rsid w:val="00025344"/>
    <w:rsid w:val="00025FAF"/>
    <w:rsid w:val="0002651F"/>
    <w:rsid w:val="000314BC"/>
    <w:rsid w:val="000316B3"/>
    <w:rsid w:val="00031CA8"/>
    <w:rsid w:val="0003444E"/>
    <w:rsid w:val="00034518"/>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473D"/>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6AFA"/>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4AEB"/>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318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17A"/>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4843"/>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04F8"/>
    <w:rsid w:val="0064066F"/>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0E63"/>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A66"/>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2C7E"/>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356"/>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4C0"/>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15959"/>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1488B"/>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7431F"/>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rPr>
      <w:szCs w:val="21"/>
    </w:rPr>
  </w:style>
  <w:style w:type="paragraph" w:styleId="3">
    <w:name w:val="Plain Text"/>
    <w:basedOn w:val="1"/>
    <w:link w:val="13"/>
    <w:uiPriority w:val="0"/>
    <w:rPr>
      <w:rFonts w:ascii="宋体" w:hAnsi="Courier New"/>
      <w:szCs w:val="20"/>
    </w:rPr>
  </w:style>
  <w:style w:type="paragraph" w:styleId="4">
    <w:name w:val="Date"/>
    <w:basedOn w:val="1"/>
    <w:next w:val="1"/>
    <w:link w:val="14"/>
    <w:unhideWhenUsed/>
    <w:uiPriority w:val="99"/>
    <w:pPr>
      <w:ind w:left="100" w:leftChars="2500"/>
    </w:pPr>
  </w:style>
  <w:style w:type="paragraph" w:styleId="5">
    <w:name w:val="Body Text Indent 2"/>
    <w:basedOn w:val="1"/>
    <w:link w:val="15"/>
    <w:uiPriority w:val="0"/>
    <w:pPr>
      <w:spacing w:after="120" w:line="480" w:lineRule="auto"/>
      <w:ind w:left="420" w:leftChars="200"/>
    </w:pPr>
    <w:rPr>
      <w:rFonts w:ascii="Times New Roman" w:hAnsi="Times New Roman"/>
      <w:szCs w:val="21"/>
    </w:rPr>
  </w:style>
  <w:style w:type="paragraph" w:styleId="6">
    <w:name w:val="footer"/>
    <w:basedOn w:val="1"/>
    <w:link w:val="16"/>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批注文字 Char"/>
    <w:basedOn w:val="10"/>
    <w:link w:val="2"/>
    <w:semiHidden/>
    <w:uiPriority w:val="99"/>
    <w:rPr>
      <w:rFonts w:ascii="Calibri" w:hAnsi="Calibri" w:eastAsia="宋体" w:cs="Times New Roman"/>
      <w:szCs w:val="21"/>
    </w:rPr>
  </w:style>
  <w:style w:type="character" w:customStyle="1" w:styleId="13">
    <w:name w:val="纯文本 Char1"/>
    <w:basedOn w:val="10"/>
    <w:link w:val="3"/>
    <w:semiHidden/>
    <w:uiPriority w:val="99"/>
    <w:rPr>
      <w:rFonts w:ascii="宋体" w:hAnsi="Courier New" w:eastAsia="宋体" w:cs="Times New Roman"/>
      <w:szCs w:val="20"/>
    </w:rPr>
  </w:style>
  <w:style w:type="character" w:customStyle="1" w:styleId="14">
    <w:name w:val="日期 Char"/>
    <w:basedOn w:val="10"/>
    <w:link w:val="4"/>
    <w:semiHidden/>
    <w:uiPriority w:val="99"/>
    <w:rPr>
      <w:rFonts w:ascii="Calibri" w:hAnsi="Calibri" w:eastAsia="宋体" w:cs="Times New Roman"/>
    </w:rPr>
  </w:style>
  <w:style w:type="character" w:customStyle="1" w:styleId="15">
    <w:name w:val="正文文本缩进 2 Char"/>
    <w:basedOn w:val="10"/>
    <w:link w:val="5"/>
    <w:uiPriority w:val="0"/>
    <w:rPr>
      <w:rFonts w:ascii="Times New Roman" w:hAnsi="Times New Roman" w:eastAsia="宋体" w:cs="Times New Roman"/>
      <w:szCs w:val="21"/>
    </w:rPr>
  </w:style>
  <w:style w:type="character" w:customStyle="1" w:styleId="16">
    <w:name w:val="页脚 Char"/>
    <w:basedOn w:val="10"/>
    <w:link w:val="6"/>
    <w:uiPriority w:val="0"/>
    <w:rPr>
      <w:rFonts w:ascii="Times New Roman" w:hAnsi="Times New Roman" w:eastAsia="宋体" w:cs="Times New Roman"/>
      <w:sz w:val="18"/>
      <w:szCs w:val="18"/>
    </w:rPr>
  </w:style>
  <w:style w:type="character" w:customStyle="1" w:styleId="17">
    <w:name w:val="页眉 Char"/>
    <w:basedOn w:val="10"/>
    <w:link w:val="7"/>
    <w:semiHidden/>
    <w:uiPriority w:val="99"/>
    <w:rPr>
      <w:rFonts w:ascii="Calibri" w:hAnsi="Calibri" w:eastAsia="宋体" w:cs="Times New Roman"/>
      <w:sz w:val="18"/>
      <w:szCs w:val="18"/>
    </w:rPr>
  </w:style>
  <w:style w:type="character" w:customStyle="1" w:styleId="18">
    <w:name w:val="纯文本 Char"/>
    <w:uiPriority w:val="0"/>
    <w:rPr>
      <w:rFonts w:ascii="宋体" w:hAnsi="Courier New" w:eastAsia="宋体" w:cs="Times New Roman"/>
      <w:kern w:val="2"/>
      <w:sz w:val="21"/>
    </w:rPr>
  </w:style>
  <w:style w:type="paragraph" w:customStyle="1" w:styleId="19">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2026-03-02T03:28:00Z</dcterms:created>
  <dc:creator>李敏</dc:creator>
  <cp:lastModifiedBy>李敏</cp:lastModifiedBy>
  <dcterms:modified xsi:type="dcterms:W3CDTF">2026-03-02T03:30:25Z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