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78EDF">
      <w:pPr>
        <w:spacing w:line="420" w:lineRule="auto"/>
        <w:jc w:val="center"/>
        <w:rPr>
          <w:rFonts w:hint="default" w:eastAsia="黑体"/>
          <w:lang w:val="en-US" w:eastAsia="zh-CN"/>
        </w:rPr>
      </w:pPr>
      <w:r>
        <w:rPr>
          <w:rFonts w:eastAsia="黑体"/>
          <w:b/>
          <w:bCs/>
          <w:sz w:val="36"/>
          <w:szCs w:val="36"/>
        </w:rPr>
        <w:t>《昆明市生态环境行政处罚裁量权规则和基准实施细则（2026年版）》</w:t>
      </w:r>
      <w:r>
        <w:rPr>
          <w:rFonts w:hint="eastAsia" w:eastAsia="黑体"/>
          <w:b/>
          <w:bCs/>
          <w:sz w:val="36"/>
          <w:szCs w:val="36"/>
          <w:lang w:eastAsia="zh-CN"/>
        </w:rPr>
        <w:t>（公开征求意见稿）</w:t>
      </w:r>
      <w:r>
        <w:rPr>
          <w:rFonts w:hint="eastAsia" w:eastAsia="黑体"/>
          <w:b/>
          <w:bCs/>
          <w:sz w:val="36"/>
          <w:szCs w:val="36"/>
          <w:lang w:val="en-US" w:eastAsia="zh-CN"/>
        </w:rPr>
        <w:t>修订说明</w:t>
      </w:r>
    </w:p>
    <w:p w14:paraId="15218CE1">
      <w:pPr>
        <w:spacing w:line="420" w:lineRule="auto"/>
      </w:pPr>
    </w:p>
    <w:p w14:paraId="340505C0">
      <w:pPr>
        <w:keepNext w:val="0"/>
        <w:keepLines w:val="0"/>
        <w:pageBreakBefore w:val="0"/>
        <w:kinsoku/>
        <w:wordWrap/>
        <w:overflowPunct/>
        <w:autoSpaceDE/>
        <w:autoSpaceDN/>
        <w:bidi w:val="0"/>
        <w:adjustRightInd/>
        <w:snapToGrid/>
        <w:spacing w:line="570" w:lineRule="exact"/>
        <w:ind w:firstLine="633"/>
        <w:rPr>
          <w:rFonts w:ascii="Times New Roman" w:hAnsi="Times New Roman"/>
          <w:sz w:val="32"/>
          <w:szCs w:val="32"/>
        </w:rPr>
      </w:pPr>
      <w:r>
        <w:rPr>
          <w:rFonts w:hint="eastAsia" w:ascii="Times New Roman" w:hAnsi="Times New Roman" w:eastAsia="方正仿宋_GBK" w:cs="Times New Roman"/>
          <w:sz w:val="32"/>
          <w:szCs w:val="32"/>
          <w:highlight w:val="none"/>
        </w:rPr>
        <w:t>为全面贯彻落实《中华人民共和国生态环境法典》（以下简称</w:t>
      </w:r>
      <w:r>
        <w:rPr>
          <w:rFonts w:hint="eastAsia" w:ascii="Times New Roman" w:hAnsi="Times New Roman" w:eastAsia="方正仿宋_GBK" w:cs="Times New Roman"/>
          <w:sz w:val="32"/>
          <w:szCs w:val="32"/>
          <w:highlight w:val="none"/>
          <w:u w:val="none" w:color="FFFFFF"/>
          <w:shd w:val="clear" w:color="auto" w:fill="auto"/>
        </w:rPr>
        <w:t>《生态环境法典》</w:t>
      </w:r>
      <w:r>
        <w:rPr>
          <w:rFonts w:hint="eastAsia" w:ascii="Times New Roman" w:hAnsi="Times New Roman" w:eastAsia="方正仿宋_GBK" w:cs="Times New Roman"/>
          <w:sz w:val="32"/>
          <w:szCs w:val="32"/>
          <w:highlight w:val="none"/>
        </w:rPr>
        <w:t>），确保法典颁布</w:t>
      </w:r>
      <w:r>
        <w:rPr>
          <w:rFonts w:hint="eastAsia" w:ascii="Times New Roman" w:hAnsi="Times New Roman" w:eastAsia="方正仿宋_GBK" w:cs="Times New Roman"/>
          <w:sz w:val="32"/>
          <w:szCs w:val="32"/>
          <w:highlight w:val="none"/>
          <w:lang w:eastAsia="zh-CN"/>
        </w:rPr>
        <w:t>施行</w:t>
      </w:r>
      <w:r>
        <w:rPr>
          <w:rFonts w:hint="eastAsia" w:ascii="Times New Roman" w:hAnsi="Times New Roman" w:eastAsia="方正仿宋_GBK" w:cs="Times New Roman"/>
          <w:sz w:val="32"/>
          <w:szCs w:val="32"/>
          <w:highlight w:val="none"/>
        </w:rPr>
        <w:t>后</w:t>
      </w:r>
      <w:r>
        <w:rPr>
          <w:rFonts w:hint="eastAsia" w:ascii="Times New Roman" w:hAnsi="Times New Roman" w:eastAsia="方正仿宋_GBK" w:cs="Times New Roman"/>
          <w:sz w:val="32"/>
          <w:szCs w:val="32"/>
          <w:highlight w:val="none"/>
          <w:lang w:val="en-US" w:eastAsia="zh-CN"/>
        </w:rPr>
        <w:t>昆明市</w:t>
      </w:r>
      <w:r>
        <w:rPr>
          <w:rFonts w:hint="eastAsia" w:ascii="Times New Roman" w:hAnsi="Times New Roman" w:eastAsia="方正仿宋_GBK" w:cs="Times New Roman"/>
          <w:sz w:val="32"/>
          <w:szCs w:val="32"/>
          <w:highlight w:val="none"/>
        </w:rPr>
        <w:t>生态环境行政处罚裁量基准与其实现有机衔接，进一步提升全</w:t>
      </w:r>
      <w:r>
        <w:rPr>
          <w:rFonts w:hint="eastAsia" w:ascii="Times New Roman" w:hAnsi="Times New Roman" w:eastAsia="方正仿宋_GBK" w:cs="Times New Roman"/>
          <w:sz w:val="32"/>
          <w:szCs w:val="32"/>
          <w:highlight w:val="none"/>
          <w:lang w:val="en-US" w:eastAsia="zh-CN"/>
        </w:rPr>
        <w:t>市</w:t>
      </w:r>
      <w:r>
        <w:rPr>
          <w:rFonts w:hint="eastAsia" w:ascii="Times New Roman" w:hAnsi="Times New Roman" w:eastAsia="方正仿宋_GBK" w:cs="Times New Roman"/>
          <w:sz w:val="32"/>
          <w:szCs w:val="32"/>
          <w:highlight w:val="none"/>
        </w:rPr>
        <w:t>生态环境行政处罚规范化水平，推动严格规范公正文明执法，结合</w:t>
      </w:r>
      <w:r>
        <w:rPr>
          <w:rFonts w:hint="eastAsia" w:ascii="Times New Roman" w:hAnsi="Times New Roman" w:eastAsia="方正仿宋_GBK" w:cs="Times New Roman"/>
          <w:sz w:val="32"/>
          <w:szCs w:val="32"/>
          <w:highlight w:val="none"/>
          <w:lang w:val="en-US" w:eastAsia="zh-CN"/>
        </w:rPr>
        <w:t>昆明市</w:t>
      </w:r>
      <w:r>
        <w:rPr>
          <w:rFonts w:hint="eastAsia" w:ascii="Times New Roman" w:hAnsi="Times New Roman" w:eastAsia="方正仿宋_GBK" w:cs="Times New Roman"/>
          <w:sz w:val="32"/>
          <w:szCs w:val="32"/>
          <w:highlight w:val="none"/>
        </w:rPr>
        <w:t>生态环境行政执法工作实际，对</w:t>
      </w:r>
      <w:r>
        <w:rPr>
          <w:rFonts w:ascii="Times New Roman" w:hAnsi="Times New Roman" w:eastAsia="仿宋"/>
          <w:sz w:val="32"/>
          <w:szCs w:val="32"/>
        </w:rPr>
        <w:t>《昆明市生态环境行政处罚裁量权规则和基准实施细则（202</w:t>
      </w:r>
      <w:r>
        <w:rPr>
          <w:rFonts w:hint="eastAsia" w:ascii="Times New Roman" w:hAnsi="Times New Roman" w:eastAsia="仿宋"/>
          <w:sz w:val="32"/>
          <w:szCs w:val="32"/>
          <w:lang w:val="en-US" w:eastAsia="zh-CN"/>
        </w:rPr>
        <w:t>4</w:t>
      </w:r>
      <w:r>
        <w:rPr>
          <w:rFonts w:ascii="Times New Roman" w:hAnsi="Times New Roman" w:eastAsia="仿宋"/>
          <w:sz w:val="32"/>
          <w:szCs w:val="32"/>
        </w:rPr>
        <w:t>年版）》</w:t>
      </w:r>
      <w:r>
        <w:rPr>
          <w:rFonts w:hint="eastAsia" w:eastAsia="仿宋"/>
          <w:sz w:val="32"/>
          <w:szCs w:val="32"/>
          <w:lang w:eastAsia="zh-CN"/>
        </w:rPr>
        <w:t>（</w:t>
      </w:r>
      <w:r>
        <w:rPr>
          <w:rFonts w:ascii="Times New Roman" w:hAnsi="Times New Roman" w:eastAsia="仿宋"/>
          <w:sz w:val="32"/>
          <w:szCs w:val="32"/>
        </w:rPr>
        <w:t>昆生环规〔2024〕1号</w:t>
      </w:r>
      <w:r>
        <w:rPr>
          <w:rFonts w:hint="eastAsia" w:eastAsia="仿宋"/>
          <w:sz w:val="32"/>
          <w:szCs w:val="32"/>
          <w:lang w:eastAsia="zh-CN"/>
        </w:rPr>
        <w:t>）</w:t>
      </w:r>
      <w:r>
        <w:rPr>
          <w:rFonts w:hint="eastAsia" w:ascii="Times New Roman" w:hAnsi="Times New Roman" w:eastAsia="仿宋"/>
          <w:sz w:val="32"/>
          <w:szCs w:val="32"/>
          <w:lang w:eastAsia="zh-CN"/>
        </w:rPr>
        <w:t>，</w:t>
      </w:r>
      <w:r>
        <w:rPr>
          <w:rFonts w:hint="eastAsia" w:ascii="Times New Roman" w:hAnsi="Times New Roman" w:eastAsia="方正仿宋_GBK" w:cs="Times New Roman"/>
          <w:sz w:val="32"/>
          <w:szCs w:val="32"/>
          <w:highlight w:val="none"/>
        </w:rPr>
        <w:t>以下简称</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细则</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2024年版</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进行了修订完善</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主要修订情况</w:t>
      </w:r>
      <w:r>
        <w:rPr>
          <w:rFonts w:ascii="Times New Roman" w:hAnsi="Times New Roman" w:eastAsia="仿宋"/>
          <w:sz w:val="32"/>
          <w:szCs w:val="32"/>
        </w:rPr>
        <w:t>说明如下：</w:t>
      </w:r>
    </w:p>
    <w:p w14:paraId="0823A39B">
      <w:pPr>
        <w:keepNext w:val="0"/>
        <w:keepLines w:val="0"/>
        <w:pageBreakBefore w:val="0"/>
        <w:numPr>
          <w:ilvl w:val="0"/>
          <w:numId w:val="1"/>
        </w:numPr>
        <w:kinsoku/>
        <w:wordWrap/>
        <w:overflowPunct/>
        <w:autoSpaceDE/>
        <w:autoSpaceDN/>
        <w:bidi w:val="0"/>
        <w:adjustRightInd/>
        <w:snapToGrid/>
        <w:spacing w:line="570" w:lineRule="exact"/>
        <w:ind w:firstLine="633"/>
        <w:rPr>
          <w:rFonts w:ascii="Times New Roman" w:hAnsi="Times New Roman" w:eastAsia="黑体"/>
          <w:sz w:val="32"/>
          <w:szCs w:val="32"/>
        </w:rPr>
      </w:pPr>
      <w:r>
        <w:rPr>
          <w:rFonts w:hint="eastAsia" w:ascii="Times New Roman" w:hAnsi="Times New Roman" w:eastAsia="黑体"/>
          <w:sz w:val="32"/>
          <w:szCs w:val="32"/>
          <w:lang w:val="en-US" w:eastAsia="zh-CN"/>
        </w:rPr>
        <w:t>修订</w:t>
      </w:r>
      <w:r>
        <w:rPr>
          <w:rFonts w:ascii="Times New Roman" w:hAnsi="Times New Roman" w:eastAsia="黑体"/>
          <w:sz w:val="32"/>
          <w:szCs w:val="32"/>
        </w:rPr>
        <w:t>背景</w:t>
      </w:r>
    </w:p>
    <w:p w14:paraId="0BED7F2E">
      <w:pPr>
        <w:keepNext w:val="0"/>
        <w:keepLines w:val="0"/>
        <w:pageBreakBefore w:val="0"/>
        <w:numPr>
          <w:ilvl w:val="0"/>
          <w:numId w:val="0"/>
        </w:numPr>
        <w:kinsoku/>
        <w:wordWrap/>
        <w:overflowPunct/>
        <w:autoSpaceDE/>
        <w:autoSpaceDN/>
        <w:bidi w:val="0"/>
        <w:adjustRightInd/>
        <w:snapToGrid/>
        <w:spacing w:line="570" w:lineRule="exact"/>
        <w:ind w:firstLine="640" w:firstLineChars="200"/>
        <w:rPr>
          <w:rFonts w:hint="eastAsia" w:ascii="Times New Roman" w:hAnsi="Times New Roman"/>
          <w:sz w:val="32"/>
          <w:szCs w:val="32"/>
        </w:rPr>
      </w:pPr>
      <w:r>
        <w:rPr>
          <w:rFonts w:ascii="Times New Roman" w:hAnsi="Times New Roman" w:eastAsia="仿宋"/>
          <w:sz w:val="32"/>
          <w:szCs w:val="32"/>
        </w:rPr>
        <w:t>2026年3月12日，第十四届全国人民代表大会第四次会议表决通过《中华人民共和国生态环境法典》（以下简称《生态环境法典》），自2026年8月15日起施行。《生态环境法典》共5编1242条，将</w:t>
      </w:r>
      <w:r>
        <w:rPr>
          <w:rFonts w:hint="eastAsia" w:ascii="Times New Roman" w:hAnsi="Times New Roman" w:eastAsia="方正仿宋_GBK" w:cs="Times New Roman"/>
          <w:sz w:val="32"/>
          <w:szCs w:val="32"/>
          <w:highlight w:val="none"/>
        </w:rPr>
        <w:t>30余部生态环境法律、100余件行政法规进行了系统整合与制度升华</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细则</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2024年版</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所依据的《中华人民共和国环境保护法》《中华人民共和国环境影响评价法》《中华人民共和国大气污染防治法》《中华人民共和国水污染防治法》《中华人民共和国土壤污染防治法》《中华人民共和国固体废物污染环境防治法》《中华人民共和国噪声污染防治法》《中华人民共和国放射性污染防治法》等10部法律</w:t>
      </w:r>
      <w:r>
        <w:rPr>
          <w:rFonts w:hint="eastAsia" w:ascii="Times New Roman" w:hAnsi="Times New Roman" w:eastAsia="方正仿宋_GBK" w:cs="Times New Roman"/>
          <w:sz w:val="32"/>
          <w:szCs w:val="32"/>
          <w:highlight w:val="none"/>
          <w:lang w:eastAsia="zh-CN"/>
        </w:rPr>
        <w:t>全部废止</w:t>
      </w: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eastAsia="zh-CN"/>
        </w:rPr>
        <w:t>相关法律规定和法律责任全部纳入</w:t>
      </w:r>
      <w:r>
        <w:rPr>
          <w:rFonts w:hint="eastAsia" w:ascii="Times New Roman" w:hAnsi="Times New Roman" w:eastAsia="方正仿宋_GBK" w:cs="Times New Roman"/>
          <w:sz w:val="32"/>
          <w:szCs w:val="32"/>
          <w:highlight w:val="none"/>
        </w:rPr>
        <w:t>《生态环境法典》</w:t>
      </w:r>
      <w:r>
        <w:rPr>
          <w:rFonts w:hint="eastAsia" w:ascii="Times New Roman" w:hAnsi="Times New Roman" w:eastAsia="仿宋"/>
          <w:sz w:val="32"/>
          <w:szCs w:val="32"/>
        </w:rPr>
        <w:t>。同时，《生态环境法典》</w:t>
      </w:r>
      <w:r>
        <w:rPr>
          <w:rFonts w:hint="eastAsia" w:ascii="Times New Roman" w:hAnsi="Times New Roman" w:eastAsia="仿宋"/>
          <w:sz w:val="32"/>
          <w:szCs w:val="32"/>
          <w:lang w:val="en-US" w:eastAsia="zh-CN"/>
        </w:rPr>
        <w:t>在</w:t>
      </w:r>
      <w:r>
        <w:rPr>
          <w:rFonts w:hint="eastAsia" w:ascii="Times New Roman" w:hAnsi="Times New Roman" w:eastAsia="仿宋"/>
          <w:sz w:val="32"/>
          <w:szCs w:val="32"/>
        </w:rPr>
        <w:t>排污许可、监测管理、法律责任等</w:t>
      </w:r>
      <w:r>
        <w:rPr>
          <w:rFonts w:hint="eastAsia" w:ascii="Times New Roman" w:hAnsi="Times New Roman" w:eastAsia="仿宋"/>
          <w:sz w:val="32"/>
          <w:szCs w:val="32"/>
          <w:lang w:val="en-US" w:eastAsia="zh-CN"/>
        </w:rPr>
        <w:t>方面</w:t>
      </w:r>
      <w:r>
        <w:rPr>
          <w:rFonts w:hint="eastAsia" w:ascii="Times New Roman" w:hAnsi="Times New Roman" w:eastAsia="仿宋"/>
          <w:sz w:val="32"/>
          <w:szCs w:val="32"/>
        </w:rPr>
        <w:t>作出了系统性创新规定。</w:t>
      </w:r>
      <w:r>
        <w:rPr>
          <w:rFonts w:ascii="Times New Roman" w:hAnsi="Times New Roman" w:eastAsia="仿宋"/>
          <w:sz w:val="32"/>
          <w:szCs w:val="32"/>
        </w:rPr>
        <w:t>为保障《生态环境法典》全面有效贯彻实施，</w:t>
      </w:r>
      <w:r>
        <w:rPr>
          <w:rFonts w:hint="eastAsia" w:ascii="Times New Roman" w:hAnsi="Times New Roman" w:eastAsia="仿宋"/>
          <w:sz w:val="32"/>
          <w:szCs w:val="32"/>
        </w:rPr>
        <w:t>从中央到地方，先后颁布多份文件，对多部法律、法规、规章等予以废止或修订。</w:t>
      </w:r>
      <w:r>
        <w:rPr>
          <w:rFonts w:ascii="Times New Roman" w:hAnsi="Times New Roman" w:eastAsia="仿宋"/>
          <w:sz w:val="32"/>
          <w:szCs w:val="32"/>
        </w:rPr>
        <w:t>2026年7月13日，云南省生态环境厅印发《云南省生态环境行政处罚裁量权规则和基准规定（2026年版）》（云环规〔2026〕2号，以下简称《省规定》），自2026年8月15日起与《生态环境法典》同步施行</w:t>
      </w:r>
      <w:r>
        <w:rPr>
          <w:rFonts w:hint="eastAsia" w:ascii="Times New Roman" w:hAnsi="Times New Roman" w:eastAsia="仿宋"/>
          <w:sz w:val="32"/>
          <w:szCs w:val="32"/>
          <w:lang w:eastAsia="zh-CN"/>
        </w:rPr>
        <w:t>。</w:t>
      </w:r>
      <w:r>
        <w:rPr>
          <w:rFonts w:ascii="Times New Roman" w:hAnsi="Times New Roman" w:eastAsia="仿宋"/>
          <w:sz w:val="32"/>
          <w:szCs w:val="32"/>
        </w:rPr>
        <w:t>《省规定》在裁量公式、裁量系数、处罚情形、基准表结构等方面进行了调整、细化和优化</w:t>
      </w:r>
      <w:r>
        <w:rPr>
          <w:rFonts w:hint="eastAsia" w:ascii="Times New Roman" w:hAnsi="Times New Roman" w:eastAsia="仿宋"/>
          <w:sz w:val="32"/>
          <w:szCs w:val="32"/>
        </w:rPr>
        <w:t>，</w:t>
      </w:r>
      <w:r>
        <w:rPr>
          <w:rFonts w:ascii="Times New Roman" w:hAnsi="Times New Roman" w:eastAsia="仿宋"/>
          <w:sz w:val="32"/>
          <w:szCs w:val="32"/>
        </w:rPr>
        <w:t>同步更新发布</w:t>
      </w:r>
      <w:r>
        <w:rPr>
          <w:rFonts w:hint="eastAsia" w:ascii="Times New Roman" w:hAnsi="Times New Roman" w:eastAsia="仿宋"/>
          <w:sz w:val="32"/>
          <w:szCs w:val="32"/>
        </w:rPr>
        <w:t>的</w:t>
      </w:r>
      <w:r>
        <w:rPr>
          <w:rFonts w:ascii="Times New Roman" w:hAnsi="Times New Roman" w:eastAsia="仿宋"/>
          <w:sz w:val="32"/>
          <w:szCs w:val="32"/>
        </w:rPr>
        <w:t>《云南省生态环境违法行为不予处罚事项清单（2026版）》</w:t>
      </w:r>
      <w:r>
        <w:rPr>
          <w:rFonts w:hint="eastAsia" w:ascii="Times New Roman" w:hAnsi="Times New Roman" w:eastAsia="仿宋"/>
          <w:sz w:val="32"/>
          <w:szCs w:val="32"/>
        </w:rPr>
        <w:t>（以下简称《省不予处罚清单》）</w:t>
      </w:r>
      <w:r>
        <w:rPr>
          <w:rFonts w:ascii="Times New Roman" w:hAnsi="Times New Roman" w:eastAsia="仿宋"/>
          <w:sz w:val="32"/>
          <w:szCs w:val="32"/>
        </w:rPr>
        <w:t>，</w:t>
      </w:r>
      <w:r>
        <w:rPr>
          <w:rFonts w:hint="eastAsia" w:ascii="Times New Roman" w:hAnsi="Times New Roman" w:eastAsia="仿宋"/>
          <w:sz w:val="32"/>
          <w:szCs w:val="32"/>
        </w:rPr>
        <w:t>将</w:t>
      </w:r>
      <w:r>
        <w:rPr>
          <w:rFonts w:ascii="Times New Roman" w:hAnsi="Times New Roman" w:eastAsia="仿宋"/>
          <w:sz w:val="32"/>
          <w:szCs w:val="32"/>
        </w:rPr>
        <w:t>不予处罚事项由13项增加至31项。</w:t>
      </w:r>
    </w:p>
    <w:p w14:paraId="3A205886">
      <w:pPr>
        <w:keepNext w:val="0"/>
        <w:keepLines w:val="0"/>
        <w:pageBreakBefore w:val="0"/>
        <w:kinsoku/>
        <w:wordWrap/>
        <w:overflowPunct/>
        <w:autoSpaceDE/>
        <w:autoSpaceDN/>
        <w:bidi w:val="0"/>
        <w:adjustRightInd/>
        <w:snapToGrid/>
        <w:spacing w:line="570" w:lineRule="exact"/>
        <w:ind w:firstLine="633"/>
        <w:rPr>
          <w:rFonts w:ascii="Times New Roman" w:hAnsi="Times New Roman"/>
          <w:sz w:val="32"/>
          <w:szCs w:val="32"/>
        </w:rPr>
      </w:pPr>
      <w:r>
        <w:rPr>
          <w:rFonts w:ascii="Times New Roman" w:hAnsi="Times New Roman" w:eastAsia="仿宋"/>
          <w:sz w:val="32"/>
          <w:szCs w:val="32"/>
        </w:rPr>
        <w:t>《</w:t>
      </w:r>
      <w:r>
        <w:rPr>
          <w:rFonts w:hint="eastAsia" w:ascii="Times New Roman" w:hAnsi="Times New Roman" w:eastAsia="仿宋"/>
          <w:sz w:val="32"/>
          <w:szCs w:val="32"/>
          <w:lang w:val="en-US" w:eastAsia="zh-CN"/>
        </w:rPr>
        <w:t>细则</w:t>
      </w:r>
      <w:r>
        <w:rPr>
          <w:rFonts w:ascii="Times New Roman" w:hAnsi="Times New Roman" w:eastAsia="仿宋"/>
          <w:sz w:val="32"/>
          <w:szCs w:val="32"/>
        </w:rPr>
        <w:t>》</w:t>
      </w:r>
      <w:r>
        <w:rPr>
          <w:rFonts w:hint="eastAsia" w:ascii="Times New Roman" w:hAnsi="Times New Roman" w:eastAsia="仿宋"/>
          <w:sz w:val="32"/>
          <w:szCs w:val="32"/>
          <w:lang w:eastAsia="zh-CN"/>
        </w:rPr>
        <w:t>（</w:t>
      </w:r>
      <w:r>
        <w:rPr>
          <w:rFonts w:ascii="Times New Roman" w:hAnsi="Times New Roman" w:eastAsia="仿宋"/>
          <w:sz w:val="32"/>
          <w:szCs w:val="32"/>
        </w:rPr>
        <w:t>2024年版</w:t>
      </w:r>
      <w:r>
        <w:rPr>
          <w:rFonts w:hint="eastAsia" w:ascii="Times New Roman" w:hAnsi="Times New Roman" w:eastAsia="仿宋"/>
          <w:sz w:val="32"/>
          <w:szCs w:val="32"/>
          <w:lang w:eastAsia="zh-CN"/>
        </w:rPr>
        <w:t>）</w:t>
      </w:r>
      <w:r>
        <w:rPr>
          <w:rFonts w:ascii="Times New Roman" w:hAnsi="Times New Roman" w:eastAsia="仿宋"/>
          <w:sz w:val="32"/>
          <w:szCs w:val="32"/>
        </w:rPr>
        <w:t>援引</w:t>
      </w:r>
      <w:r>
        <w:rPr>
          <w:rFonts w:hint="eastAsia" w:ascii="Times New Roman" w:hAnsi="Times New Roman" w:eastAsia="仿宋"/>
          <w:sz w:val="32"/>
          <w:szCs w:val="32"/>
        </w:rPr>
        <w:t>的相关法律、行政法规、规章、地方性法规</w:t>
      </w:r>
      <w:r>
        <w:rPr>
          <w:rFonts w:hint="eastAsia" w:ascii="Times New Roman" w:hAnsi="Times New Roman" w:eastAsia="仿宋"/>
          <w:sz w:val="32"/>
          <w:szCs w:val="32"/>
          <w:lang w:val="en-US" w:eastAsia="zh-CN"/>
        </w:rPr>
        <w:t>大部分</w:t>
      </w:r>
      <w:r>
        <w:rPr>
          <w:rFonts w:hint="eastAsia" w:ascii="Times New Roman" w:hAnsi="Times New Roman" w:eastAsia="仿宋"/>
          <w:sz w:val="32"/>
          <w:szCs w:val="32"/>
        </w:rPr>
        <w:t>已被废止或修订，同时</w:t>
      </w:r>
      <w:r>
        <w:rPr>
          <w:rFonts w:ascii="Times New Roman" w:hAnsi="Times New Roman" w:eastAsia="仿宋"/>
          <w:sz w:val="32"/>
          <w:szCs w:val="32"/>
        </w:rPr>
        <w:t>《</w:t>
      </w:r>
      <w:r>
        <w:rPr>
          <w:rFonts w:hint="eastAsia" w:ascii="Times New Roman" w:hAnsi="Times New Roman" w:eastAsia="仿宋"/>
          <w:sz w:val="32"/>
          <w:szCs w:val="32"/>
          <w:lang w:val="en-US" w:eastAsia="zh-CN"/>
        </w:rPr>
        <w:t>细则</w:t>
      </w:r>
      <w:r>
        <w:rPr>
          <w:rFonts w:ascii="Times New Roman" w:hAnsi="Times New Roman" w:eastAsia="仿宋"/>
          <w:sz w:val="32"/>
          <w:szCs w:val="32"/>
        </w:rPr>
        <w:t>》</w:t>
      </w:r>
      <w:r>
        <w:rPr>
          <w:rFonts w:hint="eastAsia" w:ascii="Times New Roman" w:hAnsi="Times New Roman" w:eastAsia="仿宋"/>
          <w:sz w:val="32"/>
          <w:szCs w:val="32"/>
          <w:lang w:eastAsia="zh-CN"/>
        </w:rPr>
        <w:t>（</w:t>
      </w:r>
      <w:r>
        <w:rPr>
          <w:rFonts w:ascii="Times New Roman" w:hAnsi="Times New Roman" w:eastAsia="仿宋"/>
          <w:sz w:val="32"/>
          <w:szCs w:val="32"/>
        </w:rPr>
        <w:t>2024年版</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在</w:t>
      </w:r>
      <w:r>
        <w:rPr>
          <w:rFonts w:ascii="Times New Roman" w:hAnsi="Times New Roman" w:eastAsia="仿宋"/>
          <w:sz w:val="32"/>
          <w:szCs w:val="32"/>
        </w:rPr>
        <w:t>不予处罚情形等方面与《省规定》存在不一致情况</w:t>
      </w:r>
      <w:r>
        <w:rPr>
          <w:rFonts w:hint="eastAsia" w:ascii="Times New Roman" w:hAnsi="Times New Roman" w:eastAsia="仿宋"/>
          <w:sz w:val="32"/>
          <w:szCs w:val="32"/>
        </w:rPr>
        <w:t>。</w:t>
      </w:r>
      <w:r>
        <w:rPr>
          <w:rFonts w:ascii="Times New Roman" w:hAnsi="Times New Roman" w:eastAsia="仿宋"/>
          <w:sz w:val="32"/>
          <w:szCs w:val="32"/>
        </w:rPr>
        <w:t>为与《生态环境法典》《省规定》</w:t>
      </w:r>
      <w:r>
        <w:rPr>
          <w:rFonts w:hint="eastAsia" w:ascii="Times New Roman" w:hAnsi="Times New Roman" w:eastAsia="仿宋"/>
          <w:sz w:val="32"/>
          <w:szCs w:val="32"/>
        </w:rPr>
        <w:t>和现行有效的其他法律法规</w:t>
      </w:r>
      <w:r>
        <w:rPr>
          <w:rFonts w:ascii="Times New Roman" w:hAnsi="Times New Roman" w:eastAsia="仿宋"/>
          <w:sz w:val="32"/>
          <w:szCs w:val="32"/>
        </w:rPr>
        <w:t>保持一致，昆明市结合实际，调整、补充、细化、量化了昆明市生态环境行政处罚裁量权及基准，形成</w:t>
      </w:r>
      <w:r>
        <w:rPr>
          <w:rFonts w:hint="eastAsia" w:ascii="Times New Roman" w:hAnsi="Times New Roman" w:eastAsia="仿宋"/>
          <w:sz w:val="32"/>
          <w:szCs w:val="32"/>
          <w:lang w:eastAsia="zh-CN"/>
        </w:rPr>
        <w:t>《</w:t>
      </w:r>
      <w:r>
        <w:rPr>
          <w:rFonts w:ascii="Times New Roman" w:hAnsi="Times New Roman" w:eastAsia="仿宋"/>
          <w:sz w:val="32"/>
          <w:szCs w:val="32"/>
        </w:rPr>
        <w:t>细则》（202</w:t>
      </w:r>
      <w:r>
        <w:rPr>
          <w:rFonts w:hint="eastAsia" w:ascii="Times New Roman" w:hAnsi="Times New Roman" w:eastAsia="仿宋"/>
          <w:sz w:val="32"/>
          <w:szCs w:val="32"/>
          <w:lang w:val="en-US" w:eastAsia="zh-CN"/>
        </w:rPr>
        <w:t>6</w:t>
      </w:r>
      <w:r>
        <w:rPr>
          <w:rFonts w:ascii="Times New Roman" w:hAnsi="Times New Roman" w:eastAsia="仿宋"/>
          <w:sz w:val="32"/>
          <w:szCs w:val="32"/>
        </w:rPr>
        <w:t>年版）。</w:t>
      </w:r>
    </w:p>
    <w:p w14:paraId="1C40C9DF">
      <w:pPr>
        <w:keepNext w:val="0"/>
        <w:keepLines w:val="0"/>
        <w:pageBreakBefore w:val="0"/>
        <w:kinsoku/>
        <w:wordWrap/>
        <w:overflowPunct/>
        <w:autoSpaceDE/>
        <w:autoSpaceDN/>
        <w:bidi w:val="0"/>
        <w:adjustRightInd/>
        <w:snapToGrid/>
        <w:spacing w:line="570" w:lineRule="exact"/>
        <w:ind w:firstLine="633"/>
        <w:rPr>
          <w:rFonts w:ascii="Times New Roman" w:hAnsi="Times New Roman"/>
          <w:sz w:val="32"/>
          <w:szCs w:val="32"/>
        </w:rPr>
      </w:pPr>
      <w:r>
        <w:rPr>
          <w:rFonts w:ascii="Times New Roman" w:hAnsi="Times New Roman" w:eastAsia="黑体"/>
          <w:sz w:val="32"/>
          <w:szCs w:val="32"/>
        </w:rPr>
        <w:t>二、</w:t>
      </w:r>
      <w:r>
        <w:rPr>
          <w:rFonts w:hint="eastAsia" w:ascii="Times New Roman" w:hAnsi="Times New Roman" w:eastAsia="黑体"/>
          <w:sz w:val="32"/>
          <w:szCs w:val="32"/>
          <w:lang w:val="en-US" w:eastAsia="zh-CN"/>
        </w:rPr>
        <w:t>修订</w:t>
      </w:r>
      <w:r>
        <w:rPr>
          <w:rFonts w:ascii="Times New Roman" w:hAnsi="Times New Roman" w:eastAsia="黑体"/>
          <w:sz w:val="32"/>
          <w:szCs w:val="32"/>
        </w:rPr>
        <w:t>过程</w:t>
      </w:r>
    </w:p>
    <w:p w14:paraId="768E9BA4">
      <w:pPr>
        <w:keepNext w:val="0"/>
        <w:keepLines w:val="0"/>
        <w:pageBreakBefore w:val="0"/>
        <w:kinsoku/>
        <w:wordWrap/>
        <w:overflowPunct/>
        <w:autoSpaceDE/>
        <w:autoSpaceDN/>
        <w:bidi w:val="0"/>
        <w:adjustRightInd/>
        <w:snapToGrid/>
        <w:spacing w:line="570" w:lineRule="exact"/>
        <w:ind w:firstLine="633"/>
        <w:rPr>
          <w:rFonts w:hint="eastAsia" w:ascii="Times New Roman" w:hAnsi="Times New Roman" w:eastAsia="仿宋"/>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草案初稿。</w:t>
      </w:r>
      <w:r>
        <w:rPr>
          <w:rFonts w:ascii="Times New Roman" w:hAnsi="Times New Roman" w:eastAsia="仿宋"/>
          <w:sz w:val="32"/>
          <w:szCs w:val="32"/>
        </w:rPr>
        <w:t>2026年</w:t>
      </w:r>
      <w:r>
        <w:rPr>
          <w:rFonts w:hint="eastAsia" w:ascii="Times New Roman" w:hAnsi="Times New Roman" w:eastAsia="仿宋"/>
          <w:sz w:val="32"/>
          <w:szCs w:val="32"/>
        </w:rPr>
        <w:t>8</w:t>
      </w:r>
      <w:r>
        <w:rPr>
          <w:rFonts w:ascii="Times New Roman" w:hAnsi="Times New Roman" w:eastAsia="仿宋"/>
          <w:sz w:val="32"/>
          <w:szCs w:val="32"/>
        </w:rPr>
        <w:t>月，昆明市生态环境局在深入调查研究、广泛听取意见建议、深度研判执法需求的基础上，形成《昆明市生态环境行政处罚裁量权规则和基准实施细则（2026年版）》（</w:t>
      </w:r>
      <w:r>
        <w:rPr>
          <w:rFonts w:hint="eastAsia" w:ascii="Times New Roman" w:hAnsi="Times New Roman" w:eastAsia="仿宋"/>
          <w:sz w:val="32"/>
          <w:szCs w:val="32"/>
          <w:lang w:val="en-US" w:eastAsia="zh-CN"/>
        </w:rPr>
        <w:t>第一次</w:t>
      </w:r>
      <w:r>
        <w:rPr>
          <w:rFonts w:ascii="Times New Roman" w:hAnsi="Times New Roman" w:eastAsia="仿宋"/>
          <w:sz w:val="32"/>
          <w:szCs w:val="32"/>
        </w:rPr>
        <w:t>征求意见稿）</w:t>
      </w:r>
      <w:r>
        <w:rPr>
          <w:rFonts w:hint="eastAsia" w:ascii="Times New Roman" w:hAnsi="Times New Roman" w:eastAsia="仿宋"/>
          <w:sz w:val="32"/>
          <w:szCs w:val="32"/>
          <w:lang w:eastAsia="zh-CN"/>
        </w:rPr>
        <w:t>。</w:t>
      </w:r>
    </w:p>
    <w:p w14:paraId="59A6BF69">
      <w:pPr>
        <w:pStyle w:val="26"/>
        <w:keepNext w:val="0"/>
        <w:keepLines w:val="0"/>
        <w:pageBreakBefore w:val="0"/>
        <w:widowControl/>
        <w:shd w:val="clear" w:color="auto" w:fill="auto"/>
        <w:kinsoku/>
        <w:wordWrap/>
        <w:overflowPunct/>
        <w:topLinePunct w:val="0"/>
        <w:autoSpaceDE/>
        <w:autoSpaceDN/>
        <w:bidi w:val="0"/>
        <w:adjustRightInd/>
        <w:snapToGrid/>
        <w:spacing w:line="570" w:lineRule="exact"/>
        <w:ind w:firstLine="640"/>
        <w:textAlignment w:val="auto"/>
        <w:rPr>
          <w:rFonts w:hint="eastAsia" w:ascii="Times New Roman" w:hAnsi="Times New Roman" w:eastAsia="仿宋"/>
          <w:sz w:val="32"/>
          <w:szCs w:val="32"/>
          <w:lang w:val="en-US" w:eastAsia="zh-CN"/>
        </w:rPr>
      </w:pPr>
      <w:r>
        <w:rPr>
          <w:rFonts w:hint="eastAsia" w:ascii="楷体_GB2312" w:hAnsi="楷体_GB2312" w:eastAsia="楷体_GB2312" w:cs="楷体_GB2312"/>
          <w:color w:val="auto"/>
          <w:kern w:val="0"/>
          <w:sz w:val="32"/>
          <w:szCs w:val="32"/>
          <w:lang w:val="en-US" w:eastAsia="zh-CN" w:bidi="ar-SA"/>
        </w:rPr>
        <w:t>（二）征求意见。</w:t>
      </w:r>
      <w:r>
        <w:rPr>
          <w:rFonts w:hint="eastAsia" w:ascii="Times New Roman" w:hAnsi="Times New Roman" w:eastAsia="仿宋"/>
          <w:b/>
          <w:bCs/>
          <w:sz w:val="32"/>
          <w:szCs w:val="32"/>
          <w:lang w:val="en-US" w:eastAsia="zh-CN"/>
        </w:rPr>
        <w:t>一是</w:t>
      </w:r>
      <w:r>
        <w:rPr>
          <w:rFonts w:hint="eastAsia" w:ascii="Times New Roman" w:hAnsi="Times New Roman" w:eastAsia="仿宋_GB2312"/>
          <w:color w:val="000000"/>
          <w:sz w:val="32"/>
          <w:szCs w:val="32"/>
        </w:rPr>
        <w:t>202</w:t>
      </w:r>
      <w:r>
        <w:rPr>
          <w:rFonts w:hint="eastAsia" w:ascii="Times New Roman" w:hAnsi="Times New Roman" w:eastAsia="仿宋_GB2312"/>
          <w:color w:val="000000"/>
          <w:sz w:val="32"/>
          <w:szCs w:val="32"/>
          <w:lang w:val="en-US" w:eastAsia="zh-CN"/>
        </w:rPr>
        <w:t>6</w:t>
      </w:r>
      <w:r>
        <w:rPr>
          <w:rFonts w:hint="eastAsia" w:ascii="Times New Roman" w:hAnsi="Times New Roman" w:eastAsia="仿宋_GB2312"/>
          <w:color w:val="000000"/>
          <w:sz w:val="32"/>
          <w:szCs w:val="32"/>
        </w:rPr>
        <w:t>年</w:t>
      </w:r>
      <w:r>
        <w:rPr>
          <w:rFonts w:hint="eastAsia" w:ascii="Times New Roman" w:hAnsi="Times New Roman" w:eastAsia="仿宋_GB2312"/>
          <w:color w:val="000000"/>
          <w:sz w:val="32"/>
          <w:szCs w:val="32"/>
          <w:lang w:val="en-US" w:eastAsia="zh-CN"/>
        </w:rPr>
        <w:t>9</w:t>
      </w:r>
      <w:r>
        <w:rPr>
          <w:rFonts w:hint="eastAsia" w:ascii="Times New Roman" w:hAnsi="Times New Roman" w:eastAsia="仿宋_GB2312"/>
          <w:color w:val="000000"/>
          <w:sz w:val="32"/>
          <w:szCs w:val="32"/>
        </w:rPr>
        <w:t>月</w:t>
      </w:r>
      <w:r>
        <w:rPr>
          <w:rFonts w:hint="eastAsia" w:ascii="Times New Roman" w:hAnsi="Times New Roman" w:eastAsia="仿宋_GB2312"/>
          <w:color w:val="000000"/>
          <w:sz w:val="32"/>
          <w:szCs w:val="32"/>
          <w:lang w:val="en-US" w:eastAsia="zh-CN"/>
        </w:rPr>
        <w:t>14</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17日，</w:t>
      </w:r>
      <w:r>
        <w:rPr>
          <w:rFonts w:ascii="Times New Roman" w:hAnsi="Times New Roman" w:eastAsia="仿宋"/>
          <w:sz w:val="32"/>
          <w:szCs w:val="32"/>
        </w:rPr>
        <w:t>在局机关各处室、各分局、直属事业单位</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法律服务机构</w:t>
      </w:r>
      <w:r>
        <w:rPr>
          <w:rFonts w:ascii="Times New Roman" w:hAnsi="Times New Roman" w:eastAsia="仿宋"/>
          <w:sz w:val="32"/>
          <w:szCs w:val="32"/>
        </w:rPr>
        <w:t>征求意见建议</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共收到反馈意见34条，采纳与部分采纳20条，未采纳14条</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对于反馈意见，起草组深入研究，充分吸纳，未采纳意见已与意见提出方充分沟通，形成共识。</w:t>
      </w:r>
      <w:r>
        <w:rPr>
          <w:rFonts w:ascii="Times New Roman" w:hAnsi="Times New Roman" w:eastAsia="仿宋"/>
          <w:sz w:val="32"/>
          <w:szCs w:val="32"/>
        </w:rPr>
        <w:t>经对反馈意见研究吸纳、修改完善，形成目前的</w:t>
      </w:r>
      <w:r>
        <w:rPr>
          <w:rFonts w:hint="eastAsia" w:ascii="Times New Roman" w:hAnsi="Times New Roman" w:eastAsia="仿宋"/>
          <w:sz w:val="32"/>
          <w:szCs w:val="32"/>
          <w:lang w:val="en-US" w:eastAsia="zh-CN"/>
        </w:rPr>
        <w:t>第二次</w:t>
      </w:r>
      <w:r>
        <w:rPr>
          <w:rFonts w:ascii="Times New Roman" w:hAnsi="Times New Roman" w:eastAsia="仿宋"/>
          <w:sz w:val="32"/>
          <w:szCs w:val="32"/>
        </w:rPr>
        <w:t>征求意见稿</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向社会公众、局内再次开展</w:t>
      </w:r>
      <w:r>
        <w:rPr>
          <w:rFonts w:ascii="Times New Roman" w:hAnsi="Times New Roman" w:eastAsia="仿宋"/>
          <w:sz w:val="32"/>
          <w:szCs w:val="32"/>
        </w:rPr>
        <w:t>意见建议</w:t>
      </w:r>
      <w:r>
        <w:rPr>
          <w:rFonts w:hint="eastAsia" w:ascii="Times New Roman" w:hAnsi="Times New Roman" w:eastAsia="仿宋"/>
          <w:sz w:val="32"/>
          <w:szCs w:val="32"/>
          <w:lang w:val="en-US" w:eastAsia="zh-CN"/>
        </w:rPr>
        <w:t>征集。</w:t>
      </w:r>
    </w:p>
    <w:p w14:paraId="04B5C1FB">
      <w:pPr>
        <w:pStyle w:val="26"/>
        <w:keepNext w:val="0"/>
        <w:keepLines w:val="0"/>
        <w:pageBreakBefore w:val="0"/>
        <w:widowControl/>
        <w:shd w:val="clear" w:color="auto" w:fill="auto"/>
        <w:kinsoku/>
        <w:wordWrap/>
        <w:overflowPunct/>
        <w:topLinePunct w:val="0"/>
        <w:autoSpaceDE/>
        <w:autoSpaceDN/>
        <w:bidi w:val="0"/>
        <w:adjustRightInd/>
        <w:snapToGrid/>
        <w:spacing w:line="570" w:lineRule="exact"/>
        <w:ind w:firstLine="640"/>
        <w:textAlignment w:val="auto"/>
        <w:rPr>
          <w:rFonts w:ascii="Times New Roman" w:hAnsi="Times New Roman" w:eastAsia="仿宋"/>
          <w:sz w:val="32"/>
          <w:szCs w:val="32"/>
        </w:rPr>
      </w:pPr>
      <w:r>
        <w:rPr>
          <w:rFonts w:hint="eastAsia" w:ascii="楷体_GB2312" w:hAnsi="楷体_GB2312" w:eastAsia="楷体_GB2312" w:cs="楷体_GB2312"/>
          <w:color w:val="auto"/>
          <w:kern w:val="0"/>
          <w:sz w:val="32"/>
          <w:szCs w:val="32"/>
          <w:lang w:val="en-US" w:eastAsia="zh-CN" w:bidi="ar-SA"/>
        </w:rPr>
        <w:t>（三）专家咨询论证等法定程序。</w:t>
      </w:r>
      <w:r>
        <w:rPr>
          <w:rFonts w:hint="eastAsia" w:ascii="Times New Roman" w:hAnsi="Times New Roman" w:eastAsia="仿宋"/>
          <w:sz w:val="32"/>
          <w:szCs w:val="32"/>
          <w:lang w:val="en-US" w:eastAsia="zh-CN"/>
        </w:rPr>
        <w:t>公开征求意见建议期间同步开展</w:t>
      </w:r>
      <w:r>
        <w:rPr>
          <w:rFonts w:ascii="Times New Roman" w:hAnsi="Times New Roman" w:eastAsia="仿宋"/>
          <w:sz w:val="32"/>
          <w:szCs w:val="32"/>
        </w:rPr>
        <w:t>专家论证评估、</w:t>
      </w:r>
      <w:r>
        <w:rPr>
          <w:rFonts w:hint="eastAsia" w:ascii="Times New Roman" w:hAnsi="Times New Roman" w:eastAsia="仿宋"/>
          <w:sz w:val="32"/>
          <w:szCs w:val="32"/>
          <w:lang w:val="en-US" w:eastAsia="zh-CN"/>
        </w:rPr>
        <w:t>公平竞争审查、社会稳定风险评估论证。经</w:t>
      </w:r>
      <w:r>
        <w:rPr>
          <w:rFonts w:ascii="Times New Roman" w:hAnsi="Times New Roman" w:eastAsia="仿宋"/>
          <w:sz w:val="32"/>
          <w:szCs w:val="32"/>
        </w:rPr>
        <w:t>合法性审查</w:t>
      </w:r>
      <w:r>
        <w:rPr>
          <w:rFonts w:hint="eastAsia" w:ascii="Times New Roman" w:hAnsi="Times New Roman" w:eastAsia="仿宋"/>
          <w:sz w:val="32"/>
          <w:szCs w:val="32"/>
          <w:lang w:eastAsia="zh-CN"/>
        </w:rPr>
        <w:t>、</w:t>
      </w:r>
      <w:r>
        <w:rPr>
          <w:rFonts w:hint="eastAsia" w:ascii="Times New Roman" w:hAnsi="Times New Roman" w:eastAsia="仿宋"/>
          <w:sz w:val="32"/>
          <w:szCs w:val="32"/>
          <w:lang w:val="en-US" w:eastAsia="zh-CN"/>
        </w:rPr>
        <w:t>社会主义核心价值观审查、宏观政策取向一致性评估后报局党组会集体审议，通过后报市人民政府备案</w:t>
      </w:r>
      <w:r>
        <w:rPr>
          <w:rFonts w:ascii="Times New Roman" w:hAnsi="Times New Roman" w:eastAsia="仿宋"/>
          <w:sz w:val="32"/>
          <w:szCs w:val="32"/>
        </w:rPr>
        <w:t>。</w:t>
      </w:r>
    </w:p>
    <w:p w14:paraId="4199789E">
      <w:pPr>
        <w:keepNext w:val="0"/>
        <w:keepLines w:val="0"/>
        <w:pageBreakBefore w:val="0"/>
        <w:kinsoku/>
        <w:wordWrap/>
        <w:overflowPunct/>
        <w:autoSpaceDE/>
        <w:autoSpaceDN/>
        <w:bidi w:val="0"/>
        <w:adjustRightInd/>
        <w:snapToGrid/>
        <w:spacing w:line="570" w:lineRule="exact"/>
        <w:ind w:firstLine="633"/>
        <w:rPr>
          <w:rFonts w:ascii="Times New Roman" w:hAnsi="Times New Roman"/>
          <w:sz w:val="32"/>
          <w:szCs w:val="32"/>
        </w:rPr>
      </w:pPr>
      <w:r>
        <w:rPr>
          <w:rFonts w:ascii="Times New Roman" w:hAnsi="Times New Roman" w:eastAsia="黑体"/>
          <w:sz w:val="32"/>
          <w:szCs w:val="32"/>
        </w:rPr>
        <w:t>三、主要</w:t>
      </w:r>
      <w:r>
        <w:rPr>
          <w:rFonts w:hint="eastAsia" w:ascii="Times New Roman" w:hAnsi="Times New Roman" w:eastAsia="黑体"/>
          <w:sz w:val="32"/>
          <w:szCs w:val="32"/>
          <w:lang w:val="en-US" w:eastAsia="zh-CN"/>
        </w:rPr>
        <w:t>修订</w:t>
      </w:r>
      <w:r>
        <w:rPr>
          <w:rFonts w:ascii="Times New Roman" w:hAnsi="Times New Roman" w:eastAsia="黑体"/>
          <w:sz w:val="32"/>
          <w:szCs w:val="32"/>
        </w:rPr>
        <w:t>内容</w:t>
      </w:r>
    </w:p>
    <w:p w14:paraId="57C2869F">
      <w:pPr>
        <w:keepNext w:val="0"/>
        <w:keepLines w:val="0"/>
        <w:pageBreakBefore w:val="0"/>
        <w:kinsoku/>
        <w:wordWrap/>
        <w:overflowPunct/>
        <w:autoSpaceDE/>
        <w:autoSpaceDN/>
        <w:bidi w:val="0"/>
        <w:adjustRightInd/>
        <w:snapToGrid/>
        <w:spacing w:line="570" w:lineRule="exact"/>
        <w:ind w:firstLine="633"/>
        <w:rPr>
          <w:rFonts w:ascii="Times New Roman" w:hAnsi="Times New Roman"/>
          <w:sz w:val="32"/>
          <w:szCs w:val="32"/>
        </w:rPr>
      </w:pPr>
      <w:r>
        <w:rPr>
          <w:rFonts w:hint="eastAsia" w:ascii="Times New Roman" w:hAnsi="Times New Roman" w:eastAsia="楷体_GB2312" w:cs="楷体_GB2312"/>
          <w:sz w:val="32"/>
          <w:szCs w:val="32"/>
          <w:lang w:eastAsia="zh-CN"/>
        </w:rPr>
        <w:t>（一）细则部分。</w:t>
      </w:r>
      <w:r>
        <w:rPr>
          <w:rFonts w:hint="eastAsia" w:ascii="Times New Roman" w:hAnsi="Times New Roman" w:eastAsia="仿宋"/>
          <w:sz w:val="32"/>
          <w:szCs w:val="32"/>
          <w:lang w:eastAsia="zh-CN"/>
        </w:rPr>
        <w:t>《</w:t>
      </w:r>
      <w:r>
        <w:rPr>
          <w:rFonts w:ascii="Times New Roman" w:hAnsi="Times New Roman" w:eastAsia="仿宋"/>
          <w:sz w:val="32"/>
          <w:szCs w:val="32"/>
        </w:rPr>
        <w:t>细则</w:t>
      </w:r>
      <w:r>
        <w:rPr>
          <w:rFonts w:hint="eastAsia" w:ascii="Times New Roman" w:hAnsi="Times New Roman" w:eastAsia="仿宋"/>
          <w:sz w:val="32"/>
          <w:szCs w:val="32"/>
          <w:lang w:eastAsia="zh-CN"/>
        </w:rPr>
        <w:t>》（</w:t>
      </w:r>
      <w:r>
        <w:rPr>
          <w:rFonts w:ascii="Times New Roman" w:hAnsi="Times New Roman" w:eastAsia="仿宋"/>
          <w:sz w:val="32"/>
          <w:szCs w:val="32"/>
        </w:rPr>
        <w:t>2026年版</w:t>
      </w:r>
      <w:r>
        <w:rPr>
          <w:rFonts w:hint="eastAsia" w:ascii="Times New Roman" w:hAnsi="Times New Roman" w:eastAsia="仿宋"/>
          <w:sz w:val="32"/>
          <w:szCs w:val="32"/>
          <w:lang w:eastAsia="zh-CN"/>
        </w:rPr>
        <w:t>）</w:t>
      </w:r>
      <w:r>
        <w:rPr>
          <w:rFonts w:ascii="Times New Roman" w:hAnsi="Times New Roman" w:eastAsia="仿宋"/>
          <w:sz w:val="32"/>
          <w:szCs w:val="32"/>
        </w:rPr>
        <w:t>共十</w:t>
      </w:r>
      <w:r>
        <w:rPr>
          <w:rFonts w:hint="eastAsia" w:ascii="Times New Roman" w:hAnsi="Times New Roman" w:eastAsia="仿宋"/>
          <w:sz w:val="32"/>
          <w:szCs w:val="32"/>
          <w:lang w:val="en-US" w:eastAsia="zh-CN"/>
        </w:rPr>
        <w:t>六</w:t>
      </w:r>
      <w:r>
        <w:rPr>
          <w:rFonts w:ascii="Times New Roman" w:hAnsi="Times New Roman" w:eastAsia="仿宋"/>
          <w:sz w:val="32"/>
          <w:szCs w:val="32"/>
        </w:rPr>
        <w:t>条</w:t>
      </w:r>
      <w:r>
        <w:rPr>
          <w:rFonts w:hint="eastAsia" w:ascii="Times New Roman" w:hAnsi="Times New Roman" w:eastAsia="仿宋"/>
          <w:sz w:val="32"/>
          <w:szCs w:val="32"/>
          <w:lang w:eastAsia="zh-CN"/>
        </w:rPr>
        <w:t>。</w:t>
      </w:r>
      <w:r>
        <w:rPr>
          <w:rFonts w:hint="eastAsia" w:ascii="Times New Roman" w:hAnsi="Times New Roman" w:eastAsia="仿宋"/>
          <w:b/>
          <w:bCs/>
          <w:sz w:val="32"/>
          <w:szCs w:val="32"/>
          <w:lang w:eastAsia="zh-CN"/>
        </w:rPr>
        <w:t>一是</w:t>
      </w:r>
      <w:r>
        <w:rPr>
          <w:rFonts w:ascii="Times New Roman" w:hAnsi="Times New Roman" w:eastAsia="仿宋"/>
          <w:b w:val="0"/>
          <w:bCs w:val="0"/>
          <w:sz w:val="32"/>
          <w:szCs w:val="32"/>
        </w:rPr>
        <w:t>法律依据全面更新。细</w:t>
      </w:r>
      <w:r>
        <w:rPr>
          <w:rFonts w:ascii="Times New Roman" w:hAnsi="Times New Roman" w:eastAsia="仿宋"/>
          <w:sz w:val="32"/>
          <w:szCs w:val="32"/>
        </w:rPr>
        <w:t>则违反法条和处罚依据，由《中华人民共和国环境保护法》《中华人民共和国大气污染防治法》《中华人民共和国水污染防治法》等单行法条文，全面更新为《生态环境法典》相应条文；行政法规</w:t>
      </w:r>
      <w:r>
        <w:rPr>
          <w:rFonts w:hint="eastAsia" w:ascii="Times New Roman" w:hAnsi="Times New Roman" w:eastAsia="仿宋"/>
          <w:sz w:val="32"/>
          <w:szCs w:val="32"/>
        </w:rPr>
        <w:t>、</w:t>
      </w:r>
      <w:r>
        <w:rPr>
          <w:rFonts w:ascii="Times New Roman" w:hAnsi="Times New Roman" w:eastAsia="仿宋"/>
          <w:sz w:val="32"/>
          <w:szCs w:val="32"/>
        </w:rPr>
        <w:t>地方性法规、规章</w:t>
      </w:r>
      <w:r>
        <w:rPr>
          <w:rFonts w:hint="eastAsia" w:ascii="Times New Roman" w:hAnsi="Times New Roman" w:eastAsia="仿宋"/>
          <w:sz w:val="32"/>
          <w:szCs w:val="32"/>
        </w:rPr>
        <w:t>均</w:t>
      </w:r>
      <w:r>
        <w:rPr>
          <w:rFonts w:ascii="Times New Roman" w:hAnsi="Times New Roman" w:eastAsia="仿宋"/>
          <w:sz w:val="32"/>
          <w:szCs w:val="32"/>
        </w:rPr>
        <w:t>按照最新有效文本执行。</w:t>
      </w:r>
      <w:r>
        <w:rPr>
          <w:rFonts w:hint="eastAsia" w:ascii="Times New Roman" w:hAnsi="Times New Roman" w:eastAsia="仿宋"/>
          <w:b/>
          <w:bCs/>
          <w:sz w:val="32"/>
          <w:szCs w:val="32"/>
          <w:lang w:eastAsia="zh-CN"/>
        </w:rPr>
        <w:t>二是</w:t>
      </w:r>
      <w:r>
        <w:rPr>
          <w:rFonts w:hint="eastAsia" w:ascii="Times New Roman" w:hAnsi="Times New Roman" w:eastAsia="仿宋_GB2312" w:cs="仿宋_GB2312"/>
          <w:b w:val="0"/>
          <w:bCs w:val="0"/>
          <w:sz w:val="32"/>
          <w:szCs w:val="32"/>
          <w:lang w:eastAsia="zh-CN"/>
        </w:rPr>
        <w:t>全面衔接省自由裁量最新规定且保留昆明市部分从轻减轻、不予处罚适用情形。</w:t>
      </w:r>
      <w:r>
        <w:rPr>
          <w:rFonts w:hint="eastAsia" w:ascii="Times New Roman" w:hAnsi="Times New Roman" w:eastAsia="仿宋_GB2312" w:cs="仿宋_GB2312"/>
          <w:b w:val="0"/>
          <w:bCs w:val="0"/>
          <w:sz w:val="32"/>
          <w:szCs w:val="32"/>
          <w:lang w:val="en-US" w:eastAsia="zh-CN"/>
        </w:rPr>
        <w:t>调整、增加部分规则条款内容与省规定保持一致；删除“可以不予处罚”情形中与《云南省</w:t>
      </w:r>
      <w:r>
        <w:rPr>
          <w:rFonts w:hint="eastAsia" w:ascii="Times New Roman" w:hAnsi="Times New Roman" w:eastAsia="仿宋_GB2312" w:cs="仿宋_GB2312"/>
          <w:b w:val="0"/>
          <w:bCs w:val="0"/>
          <w:sz w:val="32"/>
          <w:szCs w:val="32"/>
        </w:rPr>
        <w:t>生态环境违法行为不予处罚事项清单（</w:t>
      </w:r>
      <w:r>
        <w:rPr>
          <w:rFonts w:hint="eastAsia" w:ascii="Times New Roman" w:hAnsi="Times New Roman" w:eastAsia="仿宋_GB2312" w:cs="仿宋_GB2312"/>
          <w:b w:val="0"/>
          <w:bCs w:val="0"/>
          <w:color w:val="000000"/>
          <w:kern w:val="0"/>
          <w:sz w:val="32"/>
          <w:szCs w:val="32"/>
          <w:lang w:bidi="ar"/>
        </w:rPr>
        <w:t>2026年版</w:t>
      </w:r>
      <w:r>
        <w:rPr>
          <w:rFonts w:hint="eastAsia" w:ascii="Times New Roman" w:hAnsi="Times New Roman" w:eastAsia="仿宋_GB2312" w:cs="仿宋_GB2312"/>
          <w:b w:val="0"/>
          <w:bCs w:val="0"/>
          <w:sz w:val="32"/>
          <w:szCs w:val="32"/>
        </w:rPr>
        <w:t>）</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b w:val="0"/>
          <w:bCs w:val="0"/>
          <w:sz w:val="32"/>
          <w:szCs w:val="32"/>
          <w:highlight w:val="none"/>
          <w:lang w:val="en-US" w:eastAsia="zh-CN"/>
        </w:rPr>
        <w:t>以下简称《省不予处罚清单》）</w:t>
      </w:r>
      <w:r>
        <w:rPr>
          <w:rFonts w:hint="eastAsia" w:ascii="Times New Roman" w:hAnsi="Times New Roman" w:eastAsia="仿宋_GB2312" w:cs="仿宋_GB2312"/>
          <w:b w:val="0"/>
          <w:bCs w:val="0"/>
          <w:sz w:val="32"/>
          <w:szCs w:val="32"/>
          <w:lang w:val="en-US" w:eastAsia="zh-CN"/>
        </w:rPr>
        <w:t>一致或被涵盖的内容；结合昆明实际保留《省规定》《省不予处罚清单》中未规定或未细化的从轻减轻、不予处罚情形。</w:t>
      </w:r>
      <w:r>
        <w:rPr>
          <w:rFonts w:hint="eastAsia" w:ascii="Times New Roman" w:hAnsi="Times New Roman" w:eastAsia="仿宋"/>
          <w:b/>
          <w:bCs/>
          <w:sz w:val="32"/>
          <w:szCs w:val="32"/>
          <w:lang w:val="en-US" w:eastAsia="zh-CN"/>
        </w:rPr>
        <w:t>三是</w:t>
      </w:r>
      <w:r>
        <w:rPr>
          <w:rFonts w:hint="eastAsia" w:ascii="Times New Roman" w:hAnsi="Times New Roman" w:eastAsia="仿宋_GB2312" w:cs="仿宋_GB2312"/>
          <w:b w:val="0"/>
          <w:bCs w:val="0"/>
          <w:sz w:val="32"/>
          <w:szCs w:val="32"/>
        </w:rPr>
        <w:t>附《昆明市生态环境行政处罚裁量权基准补充表</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2026年版</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》。主要</w:t>
      </w:r>
      <w:r>
        <w:rPr>
          <w:rFonts w:hint="eastAsia" w:ascii="Times New Roman" w:hAnsi="Times New Roman" w:eastAsia="仿宋_GB2312" w:cs="仿宋_GB2312"/>
          <w:b w:val="0"/>
          <w:bCs w:val="0"/>
          <w:sz w:val="32"/>
          <w:szCs w:val="32"/>
          <w:lang w:val="en-US" w:eastAsia="zh-CN"/>
        </w:rPr>
        <w:t>修</w:t>
      </w:r>
      <w:r>
        <w:rPr>
          <w:rFonts w:hint="eastAsia" w:ascii="Times New Roman" w:hAnsi="Times New Roman" w:eastAsia="仿宋"/>
          <w:sz w:val="32"/>
          <w:szCs w:val="32"/>
          <w:lang w:val="en-US" w:eastAsia="zh-CN"/>
        </w:rPr>
        <w:t>订内容</w:t>
      </w:r>
      <w:r>
        <w:rPr>
          <w:rFonts w:hint="eastAsia" w:ascii="Times New Roman" w:hAnsi="Times New Roman" w:eastAsia="仿宋"/>
          <w:sz w:val="32"/>
          <w:szCs w:val="32"/>
        </w:rPr>
        <w:t>如下：</w:t>
      </w:r>
    </w:p>
    <w:p w14:paraId="69B111BB">
      <w:pPr>
        <w:keepNext w:val="0"/>
        <w:keepLines w:val="0"/>
        <w:pageBreakBefore w:val="0"/>
        <w:widowControl w:val="0"/>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1.第一条</w:t>
      </w:r>
      <w:r>
        <w:rPr>
          <w:rFonts w:hint="eastAsia" w:ascii="Times New Roman" w:hAnsi="Times New Roman" w:eastAsia="仿宋_GB2312" w:cs="仿宋_GB2312"/>
          <w:color w:val="000000"/>
          <w:sz w:val="32"/>
          <w:szCs w:val="32"/>
          <w:highlight w:val="none"/>
          <w:u w:val="none"/>
          <w:lang w:eastAsia="zh-CN"/>
        </w:rPr>
        <w:t>【目的意义】：</w:t>
      </w:r>
      <w:r>
        <w:rPr>
          <w:rFonts w:hint="eastAsia" w:ascii="Times New Roman" w:hAnsi="Times New Roman" w:eastAsia="仿宋_GB2312" w:cs="仿宋_GB2312"/>
          <w:sz w:val="32"/>
          <w:szCs w:val="32"/>
          <w:highlight w:val="none"/>
          <w:lang w:eastAsia="zh-CN"/>
        </w:rPr>
        <w:t>保留了《中华人民共和国行政处罚法》《生态环境行政处罚办法》等原有依据；新增了《生态环境法典》《云南省创建生态文明</w:t>
      </w:r>
      <w:r>
        <w:rPr>
          <w:rFonts w:hint="eastAsia" w:ascii="Times New Roman" w:hAnsi="Times New Roman" w:eastAsia="仿宋_GB2312" w:cs="仿宋_GB2312"/>
          <w:b w:val="0"/>
          <w:bCs w:val="0"/>
          <w:sz w:val="32"/>
          <w:szCs w:val="32"/>
          <w:highlight w:val="none"/>
          <w:lang w:eastAsia="zh-CN"/>
        </w:rPr>
        <w:t>建设排头兵促进条例》和《云南省行政执法程序规定》</w:t>
      </w:r>
      <w:bookmarkStart w:id="0" w:name="OLE_LINK13"/>
      <w:r>
        <w:rPr>
          <w:rFonts w:hint="eastAsia" w:ascii="Times New Roman" w:hAnsi="Times New Roman" w:eastAsia="仿宋_GB2312" w:cs="仿宋_GB2312"/>
          <w:b w:val="0"/>
          <w:bCs w:val="0"/>
          <w:sz w:val="32"/>
          <w:szCs w:val="32"/>
          <w:highlight w:val="none"/>
          <w:lang w:eastAsia="zh-CN"/>
        </w:rPr>
        <w:t>、</w:t>
      </w:r>
      <w:r>
        <w:rPr>
          <w:rFonts w:hint="eastAsia" w:ascii="Times New Roman" w:hAnsi="Times New Roman" w:eastAsia="仿宋_GB2312" w:cs="仿宋_GB2312"/>
          <w:b w:val="0"/>
          <w:bCs w:val="0"/>
          <w:sz w:val="32"/>
          <w:szCs w:val="32"/>
        </w:rPr>
        <w:t>国务院办公厅《关于进一步规范行政裁量权基准制定和管理工作的意见》</w:t>
      </w:r>
      <w:bookmarkEnd w:id="0"/>
      <w:r>
        <w:rPr>
          <w:rFonts w:hint="eastAsia" w:ascii="Times New Roman" w:hAnsi="Times New Roman" w:eastAsia="仿宋_GB2312" w:cs="仿宋_GB2312"/>
          <w:b w:val="0"/>
          <w:bCs w:val="0"/>
          <w:sz w:val="32"/>
          <w:szCs w:val="32"/>
          <w:highlight w:val="none"/>
          <w:lang w:eastAsia="zh-CN"/>
        </w:rPr>
        <w:t>，以适应法典颁布施行、云南省行政执法程序规范要求，以及国家规范</w:t>
      </w:r>
      <w:r>
        <w:rPr>
          <w:rFonts w:hint="eastAsia" w:ascii="Times New Roman" w:hAnsi="Times New Roman" w:eastAsia="仿宋_GB2312" w:cs="仿宋_GB2312"/>
          <w:sz w:val="32"/>
          <w:szCs w:val="32"/>
          <w:highlight w:val="none"/>
          <w:lang w:eastAsia="zh-CN"/>
        </w:rPr>
        <w:t>行政裁量相关要求，确保细则与法典及国家、省市政策要求完整衔接；修改</w:t>
      </w:r>
      <w:r>
        <w:rPr>
          <w:rFonts w:hint="eastAsia" w:ascii="Times New Roman" w:hAnsi="Times New Roman" w:eastAsia="仿宋_GB2312" w:cs="仿宋_GB2312"/>
          <w:color w:val="000000"/>
          <w:sz w:val="32"/>
          <w:szCs w:val="32"/>
          <w:highlight w:val="none"/>
          <w:u w:val="none"/>
          <w:lang w:eastAsia="zh-CN"/>
        </w:rPr>
        <w:t>《云南省生态环境行政处罚裁量权规则和基准规定</w:t>
      </w:r>
      <w:r>
        <w:rPr>
          <w:rFonts w:hint="eastAsia" w:ascii="Times New Roman" w:hAnsi="Times New Roman" w:eastAsia="仿宋_GB2312" w:cs="仿宋_GB2312"/>
          <w:color w:val="000000"/>
          <w:sz w:val="32"/>
          <w:szCs w:val="32"/>
          <w:highlight w:val="none"/>
          <w:u w:val="none"/>
          <w:lang w:val="en-US" w:eastAsia="zh-CN"/>
        </w:rPr>
        <w:t>》版本年限为2026年版，与省最新裁量规则基准有效衔接。</w:t>
      </w:r>
    </w:p>
    <w:p w14:paraId="6C58FA05">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val="0"/>
          <w:bCs w:val="0"/>
          <w:sz w:val="32"/>
          <w:szCs w:val="32"/>
          <w:lang w:val="en-US" w:eastAsia="zh-CN"/>
        </w:rPr>
        <w:t>2.第三条</w:t>
      </w:r>
      <w:r>
        <w:rPr>
          <w:rFonts w:hint="eastAsia" w:ascii="Times New Roman" w:hAnsi="Times New Roman" w:eastAsia="仿宋_GB2312" w:cs="仿宋_GB2312"/>
          <w:color w:val="000000"/>
          <w:sz w:val="32"/>
          <w:szCs w:val="32"/>
          <w:highlight w:val="none"/>
          <w:u w:val="none"/>
          <w:lang w:eastAsia="zh-CN"/>
        </w:rPr>
        <w:t>【基本原则】：</w:t>
      </w:r>
      <w:r>
        <w:rPr>
          <w:rFonts w:hint="eastAsia" w:ascii="Times New Roman" w:hAnsi="Times New Roman" w:eastAsia="仿宋_GB2312" w:cs="仿宋_GB2312"/>
          <w:sz w:val="32"/>
          <w:szCs w:val="32"/>
          <w:highlight w:val="none"/>
          <w:lang w:val="en-US" w:eastAsia="zh-CN"/>
        </w:rPr>
        <w:t>在原有合法、合理、过罚相当、公开公平公正四项原则基础上，新增“处罚和教育相结合原则”，明确应加强对违法当事人的说服教育，引导当事人从被动守法转向</w:t>
      </w:r>
    </w:p>
    <w:p w14:paraId="589AD58A">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color w:val="000000"/>
          <w:sz w:val="32"/>
          <w:szCs w:val="32"/>
          <w:highlight w:val="none"/>
          <w:u w:val="none"/>
          <w:lang w:val="en-US" w:eastAsia="zh-CN"/>
        </w:rPr>
        <w:t>3.</w:t>
      </w:r>
      <w:r>
        <w:rPr>
          <w:rFonts w:hint="eastAsia" w:ascii="Times New Roman" w:hAnsi="Times New Roman" w:eastAsia="仿宋_GB2312" w:cs="仿宋_GB2312"/>
          <w:color w:val="000000"/>
          <w:sz w:val="32"/>
          <w:szCs w:val="32"/>
          <w:highlight w:val="none"/>
          <w:u w:val="none"/>
          <w:lang w:eastAsia="zh-CN"/>
        </w:rPr>
        <w:t>第四条【裁量方式和金额计算】：</w:t>
      </w:r>
      <w:r>
        <w:rPr>
          <w:rFonts w:hint="eastAsia" w:ascii="Times New Roman" w:hAnsi="Times New Roman" w:eastAsia="仿宋_GB2312" w:cs="仿宋_GB2312"/>
          <w:b/>
          <w:bCs/>
          <w:color w:val="000000"/>
          <w:sz w:val="32"/>
          <w:szCs w:val="32"/>
          <w:highlight w:val="none"/>
          <w:u w:val="none"/>
          <w:lang w:eastAsia="zh-CN"/>
        </w:rPr>
        <w:t>一是</w:t>
      </w:r>
      <w:r>
        <w:rPr>
          <w:rFonts w:hint="eastAsia" w:ascii="Times New Roman" w:hAnsi="Times New Roman" w:eastAsia="仿宋_GB2312" w:cs="仿宋_GB2312"/>
          <w:color w:val="000000"/>
          <w:sz w:val="32"/>
          <w:szCs w:val="32"/>
          <w:highlight w:val="none"/>
          <w:u w:val="none"/>
          <w:lang w:eastAsia="zh-CN"/>
        </w:rPr>
        <w:t>在保留原有裁量方式、裁量公示、修正系数等基础上，新</w:t>
      </w:r>
      <w:r>
        <w:rPr>
          <w:rFonts w:hint="eastAsia" w:ascii="Times New Roman" w:hAnsi="Times New Roman" w:eastAsia="仿宋_GB2312" w:cs="仿宋_GB2312"/>
          <w:sz w:val="32"/>
          <w:szCs w:val="32"/>
          <w:highlight w:val="none"/>
          <w:lang w:val="en-US" w:eastAsia="zh-CN"/>
        </w:rPr>
        <w:t>增“裁量因子仅有一项的，A按该因子的等级数值计算。”解决只有一个裁量因子时难以确定裁量系数的问题。</w:t>
      </w:r>
      <w:r>
        <w:rPr>
          <w:rFonts w:hint="eastAsia" w:ascii="Times New Roman" w:hAnsi="Times New Roman" w:eastAsia="仿宋_GB2312" w:cs="仿宋_GB2312"/>
          <w:b/>
          <w:bCs/>
          <w:sz w:val="32"/>
          <w:szCs w:val="32"/>
          <w:highlight w:val="none"/>
          <w:lang w:val="en-US" w:eastAsia="zh-CN"/>
        </w:rPr>
        <w:t>二是</w:t>
      </w:r>
      <w:r>
        <w:rPr>
          <w:rFonts w:hint="eastAsia" w:ascii="Times New Roman" w:hAnsi="Times New Roman" w:eastAsia="仿宋_GB2312" w:cs="仿宋_GB2312"/>
          <w:sz w:val="32"/>
          <w:szCs w:val="32"/>
          <w:highlight w:val="none"/>
          <w:lang w:val="en-US" w:eastAsia="zh-CN"/>
        </w:rPr>
        <w:t>修正系数增加使用生态环境分区管控裁量系数界定情形，如“以涉事点位坐标点确定管控单元类型”，解决涉事主体跨管控单元类型时难以确定裁量系数的问题。</w:t>
      </w:r>
    </w:p>
    <w:p w14:paraId="0EF393F9">
      <w:pPr>
        <w:keepNext w:val="0"/>
        <w:keepLines w:val="0"/>
        <w:pageBreakBefore w:val="0"/>
        <w:widowControl w:val="0"/>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b w:val="0"/>
          <w:bCs w:val="0"/>
          <w:sz w:val="32"/>
          <w:szCs w:val="32"/>
          <w:lang w:val="en-US" w:eastAsia="zh-CN"/>
        </w:rPr>
        <w:t>4.第七条</w:t>
      </w:r>
      <w:r>
        <w:rPr>
          <w:rFonts w:hint="eastAsia" w:ascii="Times New Roman" w:hAnsi="Times New Roman" w:eastAsia="仿宋_GB2312" w:cs="仿宋_GB2312"/>
          <w:color w:val="000000"/>
          <w:sz w:val="32"/>
          <w:szCs w:val="32"/>
          <w:highlight w:val="none"/>
          <w:u w:val="none"/>
          <w:lang w:eastAsia="zh-CN"/>
        </w:rPr>
        <w:t>【从重处罚</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bCs/>
          <w:sz w:val="32"/>
          <w:szCs w:val="32"/>
          <w:highlight w:val="none"/>
          <w:lang w:val="en-US" w:eastAsia="zh-CN"/>
        </w:rPr>
        <w:t>一是</w:t>
      </w:r>
      <w:r>
        <w:rPr>
          <w:rFonts w:hint="eastAsia" w:ascii="Times New Roman" w:hAnsi="Times New Roman" w:eastAsia="仿宋_GB2312" w:cs="仿宋_GB2312"/>
          <w:sz w:val="32"/>
          <w:szCs w:val="32"/>
          <w:highlight w:val="none"/>
          <w:lang w:val="en-US" w:eastAsia="zh-CN"/>
        </w:rPr>
        <w:t>调整重复违法从重处罚触发条件，将“两年内因同类环境违法行为被处罚3次（含3次）以上的”改为“二年内因同类生态环境违法行为受到二次以上行政处罚，又实施此类行为的”，与“两高”司法解释累犯认定标准保持逻辑一致。</w:t>
      </w:r>
      <w:r>
        <w:rPr>
          <w:rFonts w:hint="eastAsia" w:ascii="Times New Roman" w:hAnsi="Times New Roman" w:eastAsia="仿宋_GB2312" w:cs="仿宋_GB2312"/>
          <w:b/>
          <w:bCs/>
          <w:sz w:val="32"/>
          <w:szCs w:val="32"/>
          <w:highlight w:val="none"/>
          <w:lang w:val="en-US" w:eastAsia="zh-CN"/>
        </w:rPr>
        <w:t>二是</w:t>
      </w:r>
      <w:r>
        <w:rPr>
          <w:rFonts w:hint="eastAsia" w:ascii="Times New Roman" w:hAnsi="Times New Roman" w:eastAsia="仿宋_GB2312" w:cs="仿宋_GB2312"/>
          <w:sz w:val="32"/>
          <w:szCs w:val="32"/>
          <w:highlight w:val="none"/>
          <w:lang w:val="en-US" w:eastAsia="zh-CN"/>
        </w:rPr>
        <w:t>更新湖泊保护表述，把“</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对滇池、阳宗海造成水质污染、水生态环境破坏等环境违法行为</w:t>
      </w:r>
      <w:r>
        <w:rPr>
          <w:rFonts w:hint="eastAsia" w:ascii="Times New Roman" w:hAnsi="Times New Roman" w:eastAsia="仿宋_GB2312" w:cs="仿宋_GB2312"/>
          <w:sz w:val="32"/>
          <w:szCs w:val="32"/>
          <w:highlight w:val="none"/>
          <w:lang w:val="en-US" w:eastAsia="zh-CN"/>
        </w:rPr>
        <w:t>”改为“</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对滇池、阳宗海</w:t>
      </w:r>
      <w:r>
        <w:rPr>
          <w:rFonts w:hint="eastAsia" w:ascii="Times New Roman" w:hAnsi="Times New Roman" w:eastAsia="仿宋_GB2312" w:cs="仿宋_GB2312"/>
          <w:b w:val="0"/>
          <w:bCs w:val="0"/>
          <w:color w:val="000000" w:themeColor="text1"/>
          <w:sz w:val="32"/>
          <w:szCs w:val="32"/>
          <w14:textFill>
            <w14:solidFill>
              <w14:schemeClr w14:val="tx1"/>
            </w14:solidFill>
          </w14:textFill>
        </w:rPr>
        <w:t>重点高原湖泊</w:t>
      </w:r>
      <w:r>
        <w:rPr>
          <w:rFonts w:hint="eastAsia" w:ascii="Times New Roman" w:hAnsi="Times New Roman" w:eastAsia="仿宋_GB2312" w:cs="仿宋_GB2312"/>
          <w:color w:val="000000" w:themeColor="text1"/>
          <w:sz w:val="32"/>
          <w:szCs w:val="32"/>
          <w:highlight w:val="none"/>
          <w:u w:val="none"/>
          <w:lang w:eastAsia="zh-CN"/>
          <w14:textFill>
            <w14:solidFill>
              <w14:schemeClr w14:val="tx1"/>
            </w14:solidFill>
          </w14:textFill>
        </w:rPr>
        <w:t>造成水质污染、水生态环境破坏等环境违法行为</w:t>
      </w:r>
      <w:r>
        <w:rPr>
          <w:rFonts w:hint="eastAsia" w:ascii="Times New Roman" w:hAnsi="Times New Roman" w:eastAsia="仿宋_GB2312" w:cs="仿宋_GB2312"/>
          <w:sz w:val="32"/>
          <w:szCs w:val="32"/>
          <w:highlight w:val="none"/>
          <w:lang w:val="en-US" w:eastAsia="zh-CN"/>
        </w:rPr>
        <w:t>”。</w:t>
      </w:r>
      <w:r>
        <w:rPr>
          <w:rFonts w:hint="eastAsia" w:ascii="Times New Roman" w:hAnsi="Times New Roman" w:eastAsia="仿宋_GB2312" w:cs="仿宋_GB2312"/>
          <w:b/>
          <w:bCs/>
          <w:sz w:val="32"/>
          <w:szCs w:val="32"/>
          <w:highlight w:val="none"/>
          <w:lang w:val="en-US" w:eastAsia="zh-CN"/>
        </w:rPr>
        <w:t>三是</w:t>
      </w:r>
      <w:r>
        <w:rPr>
          <w:rFonts w:hint="eastAsia" w:ascii="Times New Roman" w:hAnsi="Times New Roman" w:eastAsia="仿宋_GB2312" w:cs="仿宋_GB2312"/>
          <w:sz w:val="32"/>
          <w:szCs w:val="32"/>
          <w:highlight w:val="none"/>
          <w:lang w:val="en-US" w:eastAsia="zh-CN"/>
        </w:rPr>
        <w:t>新增从重处罚情形。在第（六）项后增列第（七）项“</w:t>
      </w:r>
      <w:r>
        <w:rPr>
          <w:rFonts w:hint="eastAsia" w:ascii="Times New Roman" w:hAnsi="Times New Roman" w:eastAsia="仿宋_GB2312" w:cs="仿宋_GB2312"/>
          <w:sz w:val="32"/>
          <w:szCs w:val="32"/>
        </w:rPr>
        <w:t>有恶意损害生态环境、拒不改正违法行为、造成严重危害后果、多次实施违法行为被处罚的</w:t>
      </w:r>
      <w:r>
        <w:rPr>
          <w:rFonts w:hint="eastAsia" w:ascii="Times New Roman" w:hAnsi="Times New Roman" w:eastAsia="仿宋_GB2312" w:cs="仿宋_GB2312"/>
          <w:sz w:val="32"/>
          <w:szCs w:val="32"/>
          <w:highlight w:val="none"/>
          <w:lang w:val="en-US" w:eastAsia="zh-CN"/>
        </w:rPr>
        <w:t>”，明确将恶意损害生态环境且拒不改正的行为纳入从重处罚范围，与《生态环境法典》第一千零五十六条的规定保持一致。</w:t>
      </w:r>
      <w:r>
        <w:rPr>
          <w:rFonts w:hint="eastAsia" w:ascii="Times New Roman" w:hAnsi="Times New Roman" w:eastAsia="仿宋_GB2312" w:cs="仿宋_GB2312"/>
          <w:b/>
          <w:bCs/>
          <w:sz w:val="32"/>
          <w:szCs w:val="32"/>
          <w:highlight w:val="none"/>
          <w:lang w:val="en-US" w:eastAsia="zh-CN"/>
        </w:rPr>
        <w:t>四</w:t>
      </w:r>
      <w:r>
        <w:rPr>
          <w:rFonts w:hint="eastAsia" w:ascii="Times New Roman" w:hAnsi="Times New Roman" w:eastAsia="仿宋_GB2312" w:cs="仿宋_GB2312"/>
          <w:b/>
          <w:bCs/>
          <w:sz w:val="32"/>
          <w:szCs w:val="32"/>
          <w:highlight w:val="none"/>
        </w:rPr>
        <w:t>是</w:t>
      </w:r>
      <w:r>
        <w:rPr>
          <w:rFonts w:hint="eastAsia" w:ascii="Times New Roman" w:hAnsi="Times New Roman" w:eastAsia="仿宋_GB2312" w:cs="仿宋_GB2312"/>
          <w:sz w:val="32"/>
          <w:szCs w:val="32"/>
          <w:highlight w:val="none"/>
        </w:rPr>
        <w:t>将从重处罚的</w:t>
      </w:r>
      <w:r>
        <w:rPr>
          <w:rFonts w:hint="eastAsia" w:ascii="Times New Roman" w:hAnsi="Times New Roman" w:eastAsia="仿宋_GB2312" w:cs="仿宋_GB2312"/>
          <w:sz w:val="32"/>
          <w:szCs w:val="32"/>
          <w:highlight w:val="none"/>
          <w:lang w:eastAsia="zh-CN"/>
        </w:rPr>
        <w:t>罚款金额</w:t>
      </w:r>
      <w:r>
        <w:rPr>
          <w:rFonts w:hint="eastAsia" w:ascii="Times New Roman" w:hAnsi="Times New Roman" w:eastAsia="仿宋_GB2312" w:cs="仿宋_GB2312"/>
          <w:sz w:val="32"/>
          <w:szCs w:val="32"/>
          <w:highlight w:val="none"/>
        </w:rPr>
        <w:t>增加幅度由</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20%以内</w:t>
      </w:r>
      <w:r>
        <w:rPr>
          <w:rFonts w:hint="eastAsia" w:ascii="Times New Roman" w:hAnsi="Times New Roman" w:eastAsia="仿宋_GB2312" w:cs="仿宋_GB2312"/>
          <w:sz w:val="32"/>
          <w:szCs w:val="32"/>
          <w:highlight w:val="none"/>
          <w:lang w:eastAsia="zh-CN"/>
        </w:rPr>
        <w:t>”调整为“</w:t>
      </w:r>
      <w:r>
        <w:rPr>
          <w:rFonts w:hint="eastAsia" w:ascii="Times New Roman" w:hAnsi="Times New Roman" w:eastAsia="仿宋_GB2312" w:cs="仿宋_GB2312"/>
          <w:sz w:val="32"/>
          <w:szCs w:val="32"/>
          <w:highlight w:val="none"/>
        </w:rPr>
        <w:t>30%以内</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，增强对恶意违法</w:t>
      </w:r>
      <w:r>
        <w:rPr>
          <w:rFonts w:hint="eastAsia" w:ascii="Times New Roman" w:hAnsi="Times New Roman" w:eastAsia="仿宋_GB2312" w:cs="仿宋_GB2312"/>
          <w:sz w:val="32"/>
          <w:szCs w:val="32"/>
          <w:highlight w:val="none"/>
          <w:lang w:eastAsia="zh-CN"/>
        </w:rPr>
        <w:t>行为</w:t>
      </w:r>
      <w:r>
        <w:rPr>
          <w:rFonts w:hint="eastAsia" w:ascii="Times New Roman" w:hAnsi="Times New Roman" w:eastAsia="仿宋_GB2312" w:cs="仿宋_GB2312"/>
          <w:sz w:val="32"/>
          <w:szCs w:val="32"/>
          <w:highlight w:val="none"/>
        </w:rPr>
        <w:t>和敏感区域违法行为</w:t>
      </w:r>
      <w:r>
        <w:rPr>
          <w:rFonts w:hint="eastAsia" w:ascii="Times New Roman" w:hAnsi="Times New Roman" w:eastAsia="仿宋_GB2312" w:cs="仿宋_GB2312"/>
          <w:sz w:val="32"/>
          <w:szCs w:val="32"/>
          <w:highlight w:val="none"/>
          <w:lang w:eastAsia="zh-CN"/>
        </w:rPr>
        <w:t>的震慑力</w:t>
      </w:r>
      <w:r>
        <w:rPr>
          <w:rFonts w:hint="eastAsia" w:ascii="Times New Roman" w:hAnsi="Times New Roman" w:eastAsia="仿宋_GB2312" w:cs="仿宋_GB2312"/>
          <w:sz w:val="32"/>
          <w:szCs w:val="32"/>
          <w:highlight w:val="none"/>
        </w:rPr>
        <w:t>。</w:t>
      </w:r>
    </w:p>
    <w:p w14:paraId="36E1D7FB">
      <w:pPr>
        <w:keepNext w:val="0"/>
        <w:keepLines w:val="0"/>
        <w:pageBreakBefore w:val="0"/>
        <w:widowControl w:val="0"/>
        <w:shd w:val="clear" w:color="auto" w:fill="auto"/>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color w:val="000000"/>
          <w:sz w:val="32"/>
          <w:szCs w:val="32"/>
          <w:highlight w:val="none"/>
          <w:u w:val="none"/>
          <w:lang w:val="en-US" w:eastAsia="zh-CN"/>
        </w:rPr>
      </w:pPr>
      <w:r>
        <w:rPr>
          <w:rFonts w:hint="eastAsia" w:ascii="Times New Roman" w:hAnsi="Times New Roman" w:eastAsia="仿宋_GB2312" w:cs="仿宋_GB2312"/>
          <w:sz w:val="32"/>
          <w:szCs w:val="32"/>
          <w:highlight w:val="none"/>
          <w:lang w:val="en-US" w:eastAsia="zh-CN"/>
        </w:rPr>
        <w:t>5.第八条</w:t>
      </w:r>
      <w:r>
        <w:rPr>
          <w:rFonts w:hint="eastAsia" w:ascii="Times New Roman" w:hAnsi="Times New Roman" w:eastAsia="仿宋_GB2312" w:cs="仿宋_GB2312"/>
          <w:color w:val="000000"/>
          <w:sz w:val="32"/>
          <w:szCs w:val="32"/>
          <w:highlight w:val="none"/>
          <w:u w:val="none"/>
          <w:lang w:eastAsia="zh-CN"/>
        </w:rPr>
        <w:t>【从轻或减轻处罚】：</w:t>
      </w:r>
      <w:r>
        <w:rPr>
          <w:rFonts w:hint="eastAsia" w:ascii="Times New Roman" w:hAnsi="Times New Roman" w:eastAsia="仿宋_GB2312" w:cs="仿宋_GB2312"/>
          <w:b/>
          <w:bCs/>
          <w:sz w:val="32"/>
          <w:szCs w:val="32"/>
          <w:lang w:val="en-US" w:eastAsia="zh-CN"/>
        </w:rPr>
        <w:t>一是</w:t>
      </w:r>
      <w:r>
        <w:rPr>
          <w:rFonts w:hint="eastAsia" w:ascii="Times New Roman" w:hAnsi="Times New Roman" w:eastAsia="仿宋_GB2312" w:cs="仿宋_GB2312"/>
          <w:sz w:val="32"/>
          <w:szCs w:val="32"/>
        </w:rPr>
        <w:t>将</w:t>
      </w:r>
      <w:r>
        <w:rPr>
          <w:rFonts w:hint="eastAsia" w:ascii="Times New Roman" w:hAnsi="Times New Roman" w:eastAsia="仿宋_GB2312" w:cs="仿宋_GB2312"/>
          <w:sz w:val="32"/>
          <w:szCs w:val="32"/>
          <w:lang w:eastAsia="zh-CN"/>
        </w:rPr>
        <w:t>原</w:t>
      </w:r>
      <w:r>
        <w:rPr>
          <w:rFonts w:hint="eastAsia" w:ascii="Times New Roman" w:hAnsi="Times New Roman" w:eastAsia="仿宋_GB2312" w:cs="仿宋_GB2312"/>
          <w:sz w:val="32"/>
          <w:szCs w:val="32"/>
        </w:rPr>
        <w:t>“积极履行生态环境损害赔偿责任”细化为3项：虽非轻微违法，但主动要求启动生态环境损害赔偿程序且一次磋商成功并签署赔偿协议的；未主动要求启动，但在行政处罚决定作出前已签署赔偿协议且缴纳完毕60%以上赔偿金的；有其他积极履行生态环境损害赔偿责任、有效采取生态环境修复措施、及时缴纳赔偿金情形的。</w:t>
      </w:r>
      <w:r>
        <w:rPr>
          <w:rFonts w:hint="eastAsia" w:ascii="Times New Roman" w:hAnsi="Times New Roman" w:eastAsia="仿宋_GB2312" w:cs="仿宋_GB2312"/>
          <w:b/>
          <w:bCs/>
          <w:sz w:val="32"/>
          <w:szCs w:val="32"/>
          <w:lang w:val="en-US" w:eastAsia="zh-CN"/>
        </w:rPr>
        <w:t>二是</w:t>
      </w:r>
      <w:r>
        <w:rPr>
          <w:rFonts w:hint="eastAsia" w:ascii="Times New Roman" w:hAnsi="Times New Roman" w:eastAsia="仿宋_GB2312" w:cs="仿宋_GB2312"/>
          <w:sz w:val="32"/>
          <w:szCs w:val="32"/>
        </w:rPr>
        <w:t>结合《省不予处罚清单》及昆明执法实际</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保留《细则》（2024年版）4</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具体情形</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无组织排放恶臭超标倍数小于1倍，及时主动完成整改并达标排放的；污染防治设施因突发故障需要停止使用，在故障发生后24小时内及时主动报告并及时抢修，故障排除前仍超标排放污染物的；生产设施连续不可中断运行，已主动上报年度检修计划并采取必要的减排措施，在检修时超标排放污染物的；城镇生活污水处理厂因进水浓度超标导致出水水质超标，发现后立即主动报告并采取措施减轻危害后果的。</w:t>
      </w:r>
      <w:r>
        <w:rPr>
          <w:rFonts w:hint="eastAsia" w:ascii="Times New Roman" w:hAnsi="Times New Roman" w:eastAsia="仿宋_GB2312" w:cs="仿宋_GB2312"/>
          <w:b/>
          <w:bCs/>
          <w:sz w:val="32"/>
          <w:szCs w:val="32"/>
          <w:lang w:val="en-US" w:eastAsia="zh-CN"/>
        </w:rPr>
        <w:t>三是</w:t>
      </w:r>
      <w:r>
        <w:rPr>
          <w:rFonts w:hint="eastAsia" w:ascii="Times New Roman" w:hAnsi="Times New Roman" w:eastAsia="仿宋_GB2312" w:cs="仿宋_GB2312"/>
          <w:sz w:val="32"/>
          <w:szCs w:val="32"/>
          <w:lang w:val="en-US" w:eastAsia="zh-CN"/>
        </w:rPr>
        <w:t>删除“</w:t>
      </w:r>
      <w:r>
        <w:rPr>
          <w:rFonts w:hint="eastAsia" w:ascii="Times New Roman" w:hAnsi="Times New Roman" w:eastAsia="仿宋_GB2312" w:cs="仿宋_GB2312"/>
          <w:sz w:val="32"/>
          <w:szCs w:val="32"/>
        </w:rPr>
        <w:t>在线监测水污染物日均值、大气污染物小时均值超标（有毒、有害物质除外）</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从轻减轻具体情形，《</w:t>
      </w:r>
      <w:r>
        <w:rPr>
          <w:rFonts w:hint="eastAsia" w:ascii="Times New Roman" w:hAnsi="Times New Roman" w:eastAsia="仿宋_GB2312" w:cs="仿宋_GB2312"/>
          <w:sz w:val="32"/>
          <w:szCs w:val="32"/>
        </w:rPr>
        <w:t>省</w:t>
      </w:r>
      <w:r>
        <w:rPr>
          <w:rFonts w:hint="eastAsia" w:ascii="Times New Roman" w:hAnsi="Times New Roman" w:eastAsia="仿宋_GB2312" w:cs="仿宋_GB2312"/>
          <w:sz w:val="32"/>
          <w:szCs w:val="32"/>
          <w:lang w:val="en-US" w:eastAsia="zh-CN"/>
        </w:rPr>
        <w:t>裁量基准表》已涵盖</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污染物超标倍数</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烟气流量、污水排放量</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因素和修正基准</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改正态度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因素</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避免</w:t>
      </w:r>
      <w:r>
        <w:rPr>
          <w:rFonts w:hint="eastAsia" w:ascii="Times New Roman" w:hAnsi="Times New Roman" w:eastAsia="仿宋_GB2312" w:cs="仿宋_GB2312"/>
          <w:sz w:val="32"/>
          <w:szCs w:val="32"/>
        </w:rPr>
        <w:t>再减少30%以内的罚款</w:t>
      </w:r>
      <w:r>
        <w:rPr>
          <w:rFonts w:hint="eastAsia" w:ascii="Times New Roman" w:hAnsi="Times New Roman" w:eastAsia="仿宋_GB2312" w:cs="仿宋_GB2312"/>
          <w:sz w:val="32"/>
          <w:szCs w:val="32"/>
          <w:lang w:val="en-US" w:eastAsia="zh-CN"/>
        </w:rPr>
        <w:t>造成</w:t>
      </w:r>
      <w:r>
        <w:rPr>
          <w:rFonts w:hint="eastAsia" w:ascii="Times New Roman" w:hAnsi="Times New Roman" w:eastAsia="仿宋_GB2312" w:cs="仿宋_GB2312"/>
          <w:sz w:val="32"/>
          <w:szCs w:val="32"/>
        </w:rPr>
        <w:t>重复评价。</w:t>
      </w:r>
      <w:r>
        <w:rPr>
          <w:rFonts w:hint="eastAsia" w:ascii="Times New Roman" w:hAnsi="Times New Roman" w:eastAsia="仿宋_GB2312" w:cs="仿宋_GB2312"/>
          <w:b/>
          <w:bCs/>
          <w:sz w:val="32"/>
          <w:szCs w:val="32"/>
          <w:highlight w:val="none"/>
          <w:lang w:val="en-US" w:eastAsia="zh-CN"/>
        </w:rPr>
        <w:t>四</w:t>
      </w:r>
      <w:r>
        <w:rPr>
          <w:rFonts w:hint="eastAsia" w:ascii="Times New Roman" w:hAnsi="Times New Roman" w:eastAsia="仿宋_GB2312" w:cs="仿宋_GB2312"/>
          <w:b/>
          <w:bCs/>
          <w:sz w:val="32"/>
          <w:szCs w:val="32"/>
          <w:highlight w:val="none"/>
        </w:rPr>
        <w:t>是</w:t>
      </w:r>
      <w:r>
        <w:rPr>
          <w:rFonts w:hint="eastAsia" w:ascii="Times New Roman" w:hAnsi="Times New Roman" w:eastAsia="仿宋_GB2312" w:cs="仿宋_GB2312"/>
          <w:sz w:val="32"/>
          <w:szCs w:val="32"/>
          <w:highlight w:val="none"/>
        </w:rPr>
        <w:t>将</w:t>
      </w:r>
      <w:r>
        <w:rPr>
          <w:rFonts w:hint="eastAsia" w:ascii="Times New Roman" w:hAnsi="Times New Roman" w:eastAsia="仿宋_GB2312" w:cs="仿宋_GB2312"/>
          <w:color w:val="000000"/>
          <w:sz w:val="32"/>
          <w:szCs w:val="32"/>
          <w:highlight w:val="none"/>
          <w:u w:val="none"/>
          <w:lang w:val="en-US" w:eastAsia="zh-CN"/>
        </w:rPr>
        <w:t>从轻或减轻</w:t>
      </w:r>
      <w:r>
        <w:rPr>
          <w:rFonts w:hint="eastAsia" w:ascii="Times New Roman" w:hAnsi="Times New Roman" w:eastAsia="仿宋_GB2312" w:cs="仿宋_GB2312"/>
          <w:sz w:val="32"/>
          <w:szCs w:val="32"/>
          <w:highlight w:val="none"/>
        </w:rPr>
        <w:t>可减少处罚的幅度由</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20%以内</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提升至</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30%以内</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w:t>
      </w:r>
      <w:r>
        <w:rPr>
          <w:rFonts w:hint="eastAsia" w:ascii="Times New Roman" w:hAnsi="Times New Roman" w:eastAsia="仿宋_GB2312" w:cs="仿宋_GB2312"/>
          <w:bCs/>
          <w:sz w:val="32"/>
          <w:szCs w:val="32"/>
          <w:highlight w:val="none"/>
          <w:lang w:eastAsia="zh-CN"/>
        </w:rPr>
        <w:t>为行政相对人主</w:t>
      </w:r>
      <w:r>
        <w:rPr>
          <w:rFonts w:hint="eastAsia" w:ascii="Times New Roman" w:hAnsi="Times New Roman" w:eastAsia="仿宋_GB2312" w:cs="仿宋_GB2312"/>
          <w:bCs/>
          <w:sz w:val="32"/>
          <w:szCs w:val="32"/>
          <w:highlight w:val="none"/>
        </w:rPr>
        <w:t>动消除危害、履行赔偿责任等积极行为提供</w:t>
      </w:r>
      <w:r>
        <w:rPr>
          <w:rFonts w:hint="eastAsia" w:ascii="Times New Roman" w:hAnsi="Times New Roman" w:eastAsia="仿宋_GB2312" w:cs="仿宋_GB2312"/>
          <w:bCs/>
          <w:sz w:val="32"/>
          <w:szCs w:val="32"/>
          <w:highlight w:val="none"/>
          <w:lang w:eastAsia="zh-CN"/>
        </w:rPr>
        <w:t>更大</w:t>
      </w:r>
      <w:r>
        <w:rPr>
          <w:rFonts w:hint="eastAsia" w:ascii="Times New Roman" w:hAnsi="Times New Roman" w:eastAsia="仿宋_GB2312" w:cs="仿宋_GB2312"/>
          <w:bCs/>
          <w:sz w:val="32"/>
          <w:szCs w:val="32"/>
          <w:highlight w:val="none"/>
        </w:rPr>
        <w:t>激励空间</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b/>
          <w:bCs/>
          <w:sz w:val="32"/>
          <w:szCs w:val="32"/>
          <w:highlight w:val="none"/>
          <w:lang w:val="en-US" w:eastAsia="zh-CN"/>
        </w:rPr>
        <w:t>五</w:t>
      </w:r>
      <w:r>
        <w:rPr>
          <w:rFonts w:hint="eastAsia" w:ascii="Times New Roman" w:hAnsi="Times New Roman" w:eastAsia="仿宋_GB2312" w:cs="仿宋_GB2312"/>
          <w:b/>
          <w:bCs/>
          <w:sz w:val="32"/>
          <w:szCs w:val="32"/>
          <w:highlight w:val="none"/>
        </w:rPr>
        <w:t>是</w:t>
      </w:r>
      <w:r>
        <w:rPr>
          <w:rFonts w:hint="eastAsia" w:ascii="Times New Roman" w:hAnsi="Times New Roman" w:eastAsia="仿宋_GB2312" w:cs="仿宋_GB2312"/>
          <w:sz w:val="32"/>
          <w:szCs w:val="32"/>
          <w:highlight w:val="none"/>
        </w:rPr>
        <w:t>增加规定</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减少后的罚款金额不再按照本规则第四条的规定进行取整</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，避免因取整规则导致减罚</w:t>
      </w:r>
      <w:r>
        <w:rPr>
          <w:rFonts w:hint="eastAsia" w:ascii="Times New Roman" w:hAnsi="Times New Roman" w:eastAsia="仿宋_GB2312" w:cs="仿宋_GB2312"/>
          <w:sz w:val="32"/>
          <w:szCs w:val="32"/>
          <w:highlight w:val="none"/>
          <w:lang w:val="en-US" w:eastAsia="zh-CN"/>
        </w:rPr>
        <w:t>幅度超出规定范围</w:t>
      </w:r>
      <w:r>
        <w:rPr>
          <w:rFonts w:hint="eastAsia" w:ascii="Times New Roman" w:hAnsi="Times New Roman" w:eastAsia="仿宋_GB2312" w:cs="仿宋_GB2312"/>
          <w:sz w:val="32"/>
          <w:szCs w:val="32"/>
          <w:highlight w:val="none"/>
        </w:rPr>
        <w:t>。</w:t>
      </w:r>
    </w:p>
    <w:p w14:paraId="77EBE051">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color w:val="000000"/>
          <w:sz w:val="32"/>
          <w:szCs w:val="32"/>
          <w:highlight w:val="none"/>
          <w:u w:val="none"/>
          <w:lang w:val="en-US" w:eastAsia="zh-CN"/>
        </w:rPr>
      </w:pPr>
      <w:r>
        <w:rPr>
          <w:rFonts w:hint="eastAsia" w:ascii="Times New Roman" w:hAnsi="Times New Roman" w:eastAsia="仿宋_GB2312" w:cs="仿宋_GB2312"/>
          <w:color w:val="000000"/>
          <w:sz w:val="32"/>
          <w:szCs w:val="32"/>
          <w:highlight w:val="none"/>
          <w:u w:val="none"/>
          <w:lang w:val="en-US" w:eastAsia="zh-CN"/>
        </w:rPr>
        <w:t>6.</w:t>
      </w:r>
      <w:r>
        <w:rPr>
          <w:rFonts w:hint="eastAsia" w:ascii="Times New Roman" w:hAnsi="Times New Roman" w:eastAsia="仿宋_GB2312" w:cs="仿宋_GB2312"/>
          <w:sz w:val="32"/>
          <w:szCs w:val="32"/>
          <w:highlight w:val="none"/>
          <w:lang w:val="en-US" w:eastAsia="zh-CN"/>
        </w:rPr>
        <w:t>第九条【不予处罚】：</w:t>
      </w:r>
      <w:r>
        <w:rPr>
          <w:rFonts w:hint="eastAsia" w:ascii="Times New Roman" w:hAnsi="Times New Roman" w:eastAsia="仿宋_GB2312" w:cs="仿宋_GB2312"/>
          <w:b w:val="0"/>
          <w:bCs w:val="0"/>
          <w:sz w:val="32"/>
          <w:szCs w:val="32"/>
          <w:highlight w:val="none"/>
          <w:lang w:val="en-US" w:eastAsia="zh-CN"/>
        </w:rPr>
        <w:t>《细则》（2024年版）第九条和</w:t>
      </w:r>
      <w:r>
        <w:rPr>
          <w:rFonts w:hint="eastAsia" w:ascii="Times New Roman" w:hAnsi="Times New Roman" w:eastAsia="仿宋_GB2312" w:cs="仿宋_GB2312"/>
          <w:sz w:val="32"/>
          <w:szCs w:val="32"/>
          <w:highlight w:val="none"/>
          <w:lang w:val="en-US" w:eastAsia="zh-CN"/>
        </w:rPr>
        <w:t>第十条合并为一条。</w:t>
      </w:r>
      <w:r>
        <w:rPr>
          <w:rFonts w:hint="eastAsia" w:ascii="Times New Roman" w:hAnsi="Times New Roman" w:eastAsia="仿宋_GB2312" w:cs="仿宋_GB2312"/>
          <w:b/>
          <w:bCs/>
          <w:sz w:val="32"/>
          <w:szCs w:val="32"/>
          <w:highlight w:val="none"/>
          <w:lang w:val="en-US" w:eastAsia="zh-CN"/>
        </w:rPr>
        <w:t>一是</w:t>
      </w:r>
      <w:r>
        <w:rPr>
          <w:rFonts w:hint="eastAsia" w:ascii="Times New Roman" w:hAnsi="Times New Roman" w:eastAsia="仿宋_GB2312" w:cs="仿宋_GB2312"/>
          <w:b w:val="0"/>
          <w:bCs w:val="0"/>
          <w:sz w:val="32"/>
          <w:szCs w:val="32"/>
          <w:highlight w:val="none"/>
          <w:lang w:val="en-US" w:eastAsia="zh-CN"/>
        </w:rPr>
        <w:t>删除《细则》（2024年版）第十条“可以不予处罚”第一项、第二项、第三项、第六项、第八项、第十项、第十一项、第十五项《省不予处罚清单》已涵盖的具体情形，直接执行《省不予处罚清单》；</w:t>
      </w:r>
      <w:r>
        <w:rPr>
          <w:rFonts w:hint="eastAsia" w:ascii="Times New Roman" w:hAnsi="Times New Roman" w:eastAsia="仿宋_GB2312" w:cs="仿宋_GB2312"/>
          <w:b/>
          <w:bCs/>
          <w:sz w:val="32"/>
          <w:szCs w:val="32"/>
          <w:highlight w:val="none"/>
          <w:lang w:val="en-US" w:eastAsia="zh-CN"/>
        </w:rPr>
        <w:t>二是</w:t>
      </w:r>
      <w:r>
        <w:rPr>
          <w:rFonts w:hint="eastAsia" w:ascii="Times New Roman" w:hAnsi="Times New Roman" w:eastAsia="仿宋_GB2312" w:cs="仿宋_GB2312"/>
          <w:b w:val="0"/>
          <w:bCs w:val="0"/>
          <w:sz w:val="32"/>
          <w:szCs w:val="32"/>
          <w:highlight w:val="none"/>
          <w:lang w:val="en-US" w:eastAsia="zh-CN"/>
        </w:rPr>
        <w:t>保留《细则》（2024年版）第十条第四项、第五项、第九项、第十三项、第十六项、第十七项、第十八项《省不予处罚清单》未做规定的情形，且将第九项、第十三项、第十七项调整为不予处罚事项；</w:t>
      </w:r>
      <w:r>
        <w:rPr>
          <w:rFonts w:hint="eastAsia" w:ascii="Times New Roman" w:hAnsi="Times New Roman" w:eastAsia="仿宋_GB2312" w:cs="仿宋_GB2312"/>
          <w:b/>
          <w:bCs/>
          <w:sz w:val="32"/>
          <w:szCs w:val="32"/>
          <w:highlight w:val="none"/>
          <w:lang w:val="en-US" w:eastAsia="zh-CN"/>
        </w:rPr>
        <w:t>三是</w:t>
      </w:r>
      <w:r>
        <w:rPr>
          <w:rFonts w:hint="eastAsia" w:ascii="Times New Roman" w:hAnsi="Times New Roman" w:eastAsia="仿宋_GB2312" w:cs="仿宋_GB2312"/>
          <w:b w:val="0"/>
          <w:bCs w:val="0"/>
          <w:sz w:val="32"/>
          <w:szCs w:val="32"/>
          <w:highlight w:val="none"/>
          <w:lang w:val="en-US" w:eastAsia="zh-CN"/>
        </w:rPr>
        <w:t>部分保留《细则》（2024年版）第十条第七项、第十四项《省不予处罚清单》做了部分规定但昆明市更全更细化的情形；</w:t>
      </w:r>
      <w:r>
        <w:rPr>
          <w:rFonts w:hint="eastAsia" w:ascii="Times New Roman" w:hAnsi="Times New Roman" w:eastAsia="仿宋_GB2312" w:cs="仿宋_GB2312"/>
          <w:b/>
          <w:bCs/>
          <w:sz w:val="32"/>
          <w:szCs w:val="32"/>
          <w:highlight w:val="none"/>
          <w:lang w:val="en-US" w:eastAsia="zh-CN"/>
        </w:rPr>
        <w:t>四是</w:t>
      </w:r>
      <w:r>
        <w:rPr>
          <w:rFonts w:hint="eastAsia" w:ascii="Times New Roman" w:hAnsi="Times New Roman" w:eastAsia="仿宋_GB2312" w:cs="仿宋_GB2312"/>
          <w:b w:val="0"/>
          <w:bCs w:val="0"/>
          <w:sz w:val="32"/>
          <w:szCs w:val="32"/>
          <w:highlight w:val="none"/>
          <w:lang w:val="en-US" w:eastAsia="zh-CN"/>
        </w:rPr>
        <w:t>保留《细则》（2024年版）第十条第十九项，调整到现第九条第一款第三项；</w:t>
      </w:r>
      <w:r>
        <w:rPr>
          <w:rFonts w:hint="eastAsia" w:ascii="Times New Roman" w:hAnsi="Times New Roman" w:eastAsia="仿宋_GB2312" w:cs="仿宋_GB2312"/>
          <w:b/>
          <w:bCs/>
          <w:sz w:val="32"/>
          <w:szCs w:val="32"/>
          <w:highlight w:val="none"/>
          <w:lang w:val="en-US" w:eastAsia="zh-CN"/>
        </w:rPr>
        <w:t>五是</w:t>
      </w:r>
      <w:r>
        <w:rPr>
          <w:rFonts w:hint="eastAsia" w:ascii="Times New Roman" w:hAnsi="Times New Roman" w:eastAsia="仿宋_GB2312" w:cs="仿宋_GB2312"/>
          <w:b w:val="0"/>
          <w:bCs w:val="0"/>
          <w:sz w:val="32"/>
          <w:szCs w:val="32"/>
          <w:highlight w:val="none"/>
          <w:lang w:val="en-US" w:eastAsia="zh-CN"/>
        </w:rPr>
        <w:t>《细则》（2024年版）第十条保留项全部纳入附件《昆明</w:t>
      </w:r>
      <w:r>
        <w:rPr>
          <w:rFonts w:hint="eastAsia" w:ascii="Times New Roman" w:hAnsi="Times New Roman" w:eastAsia="仿宋_GB2312" w:cs="仿宋_GB2312"/>
          <w:sz w:val="32"/>
          <w:szCs w:val="32"/>
          <w:highlight w:val="none"/>
          <w:lang w:val="en-US" w:eastAsia="zh-CN"/>
        </w:rPr>
        <w:t>市生态环境违法行为不予处罚事项清单》（2026年版）实施动态管理。</w:t>
      </w:r>
      <w:r>
        <w:rPr>
          <w:rFonts w:hint="eastAsia" w:ascii="Times New Roman" w:hAnsi="Times New Roman" w:eastAsia="仿宋_GB2312" w:cs="仿宋_GB2312"/>
          <w:b/>
          <w:bCs/>
          <w:sz w:val="32"/>
          <w:szCs w:val="32"/>
          <w:highlight w:val="none"/>
          <w:lang w:val="en-US" w:eastAsia="zh-CN"/>
        </w:rPr>
        <w:t>六是</w:t>
      </w:r>
      <w:r>
        <w:rPr>
          <w:rFonts w:hint="eastAsia" w:ascii="Times New Roman" w:hAnsi="Times New Roman" w:eastAsia="仿宋_GB2312" w:cs="仿宋_GB2312"/>
          <w:sz w:val="32"/>
          <w:szCs w:val="32"/>
          <w:highlight w:val="none"/>
          <w:lang w:val="en-US" w:eastAsia="zh-CN"/>
        </w:rPr>
        <w:t>增加“</w:t>
      </w:r>
      <w:r>
        <w:rPr>
          <w:rFonts w:hint="eastAsia" w:ascii="Times New Roman" w:hAnsi="Times New Roman" w:eastAsia="仿宋_GB2312" w:cs="仿宋_GB2312"/>
          <w:color w:val="000000" w:themeColor="text1"/>
          <w:sz w:val="32"/>
          <w:szCs w:val="32"/>
          <w:lang w:bidi="ar"/>
          <w14:textFill>
            <w14:solidFill>
              <w14:schemeClr w14:val="tx1"/>
            </w14:solidFill>
          </w14:textFill>
          <w14:ligatures w14:val="standardContextual"/>
        </w:rPr>
        <w:t>违法行为</w:t>
      </w:r>
      <w:r>
        <w:rPr>
          <w:rFonts w:hint="eastAsia" w:ascii="Times New Roman" w:hAnsi="Times New Roman" w:eastAsia="仿宋_GB2312" w:cs="仿宋_GB2312"/>
          <w:color w:val="000000"/>
          <w:sz w:val="32"/>
          <w:szCs w:val="32"/>
          <w:lang w:bidi="ar"/>
          <w14:ligatures w14:val="none"/>
        </w:rPr>
        <w:t>轻微，主动要求启动生态环境损害赔偿程序且一次磋商成功并签署赔偿协议，履行生态环境损害赔偿责任态度积极的。</w:t>
      </w:r>
      <w:r>
        <w:rPr>
          <w:rFonts w:hint="eastAsia" w:ascii="Times New Roman" w:hAnsi="Times New Roman" w:eastAsia="仿宋_GB2312" w:cs="仿宋_GB2312"/>
          <w:sz w:val="32"/>
          <w:szCs w:val="32"/>
          <w:highlight w:val="none"/>
          <w:lang w:val="en-US" w:eastAsia="zh-CN"/>
        </w:rPr>
        <w:t>”作为不予处罚事项。</w:t>
      </w:r>
      <w:r>
        <w:rPr>
          <w:rFonts w:hint="eastAsia" w:ascii="Times New Roman" w:hAnsi="Times New Roman" w:eastAsia="仿宋_GB2312" w:cs="仿宋_GB2312"/>
          <w:b/>
          <w:bCs/>
          <w:sz w:val="32"/>
          <w:szCs w:val="32"/>
          <w:highlight w:val="none"/>
          <w:lang w:val="en-US" w:eastAsia="zh-CN"/>
        </w:rPr>
        <w:t>七是</w:t>
      </w:r>
      <w:r>
        <w:rPr>
          <w:rFonts w:hint="eastAsia" w:ascii="Times New Roman" w:hAnsi="Times New Roman" w:eastAsia="仿宋_GB2312" w:cs="仿宋_GB2312"/>
          <w:sz w:val="32"/>
          <w:szCs w:val="32"/>
          <w:highlight w:val="none"/>
          <w:lang w:val="en-US" w:eastAsia="zh-CN"/>
        </w:rPr>
        <w:t>增加“符合云南省生态环境厅《云南省生态环境违法行为不予处罚事项清单》情形的”与”符合昆明市生态环境局《昆明市生态环境违法行为不予处罚事项清单》情形的”，形成“一般规定+清单”架构。</w:t>
      </w:r>
      <w:r>
        <w:rPr>
          <w:rFonts w:hint="eastAsia" w:ascii="Times New Roman" w:hAnsi="Times New Roman" w:eastAsia="仿宋_GB2312" w:cs="仿宋_GB2312"/>
          <w:b/>
          <w:bCs/>
          <w:sz w:val="32"/>
          <w:szCs w:val="32"/>
          <w:highlight w:val="none"/>
          <w:lang w:val="en-US" w:eastAsia="zh-CN"/>
        </w:rPr>
        <w:t>八是</w:t>
      </w:r>
      <w:r>
        <w:rPr>
          <w:rFonts w:hint="eastAsia" w:ascii="Times New Roman" w:hAnsi="Times New Roman" w:eastAsia="仿宋_GB2312" w:cs="仿宋_GB2312"/>
          <w:sz w:val="32"/>
          <w:szCs w:val="32"/>
          <w:highlight w:val="none"/>
          <w:lang w:val="en-US" w:eastAsia="zh-CN"/>
        </w:rPr>
        <w:t>新增一款，明确涉及生态保护红线等生态环境敏感区域的违法行为，不适用前款规定，防止不予处罚规定被滥用。同时考虑到“在饮用水源保护一级区内从事网箱养殖或者组织进行旅游、垂钓或者其他可能污染饮用水水体的活动，或个人在饮用水水源一级保护区内游泳、垂钓或者从事其他可能污染饮用水水体的活动的”危害后果相对轻微，本着教育为主原则，昆明市将其纳入可以不予处罚事项清单范围。并在第九条第三款中明确纳入省市不予处罚事项清单情形除外。</w:t>
      </w:r>
    </w:p>
    <w:p w14:paraId="27CFC2E7">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snapToGrid/>
          <w:color w:val="000000"/>
          <w:kern w:val="2"/>
          <w:sz w:val="32"/>
          <w:szCs w:val="32"/>
          <w:highlight w:val="none"/>
          <w:u w:val="none"/>
          <w:lang w:val="en-US" w:eastAsia="zh-CN"/>
        </w:rPr>
      </w:pPr>
      <w:r>
        <w:rPr>
          <w:rFonts w:hint="eastAsia" w:ascii="Times New Roman" w:hAnsi="Times New Roman" w:eastAsia="仿宋_GB2312" w:cs="仿宋_GB2312"/>
          <w:color w:val="000000"/>
          <w:sz w:val="32"/>
          <w:szCs w:val="32"/>
          <w:highlight w:val="none"/>
          <w:u w:val="none"/>
          <w:lang w:val="en-US" w:eastAsia="zh-CN"/>
        </w:rPr>
        <w:t>7.第十条</w:t>
      </w:r>
      <w:r>
        <w:rPr>
          <w:rFonts w:hint="eastAsia" w:ascii="Times New Roman" w:hAnsi="Times New Roman" w:eastAsia="仿宋_GB2312" w:cs="仿宋_GB2312"/>
          <w:color w:val="000000"/>
          <w:sz w:val="32"/>
          <w:szCs w:val="32"/>
          <w:highlight w:val="none"/>
          <w:u w:val="none"/>
          <w:lang w:eastAsia="zh-CN"/>
        </w:rPr>
        <w:t>【相关制度】：</w:t>
      </w:r>
      <w:r>
        <w:rPr>
          <w:rFonts w:hint="eastAsia" w:ascii="Times New Roman" w:hAnsi="Times New Roman" w:eastAsia="仿宋_GB2312" w:cs="仿宋_GB2312"/>
          <w:color w:val="000000"/>
          <w:sz w:val="32"/>
          <w:szCs w:val="32"/>
          <w:highlight w:val="none"/>
          <w:u w:val="none"/>
          <w:lang w:val="en-US" w:eastAsia="zh-CN"/>
        </w:rPr>
        <w:t>调整“</w:t>
      </w:r>
      <w:r>
        <w:rPr>
          <w:rFonts w:hint="eastAsia" w:ascii="Times New Roman" w:hAnsi="Times New Roman" w:eastAsia="仿宋_GB2312" w:cs="仿宋_GB2312"/>
          <w:snapToGrid/>
          <w:color w:val="000000"/>
          <w:kern w:val="2"/>
          <w:sz w:val="32"/>
          <w:szCs w:val="32"/>
          <w:highlight w:val="none"/>
          <w:u w:val="none"/>
          <w:lang w:eastAsia="zh-CN"/>
        </w:rPr>
        <w:t>重大行政执法决定法制审核制度”和“裁量案例制度”</w:t>
      </w:r>
      <w:r>
        <w:rPr>
          <w:rFonts w:hint="eastAsia" w:ascii="Times New Roman" w:hAnsi="Times New Roman" w:eastAsia="仿宋_GB2312" w:cs="仿宋_GB2312"/>
          <w:snapToGrid/>
          <w:color w:val="000000"/>
          <w:kern w:val="2"/>
          <w:sz w:val="32"/>
          <w:szCs w:val="32"/>
          <w:highlight w:val="none"/>
          <w:u w:val="none"/>
          <w:lang w:val="en-US" w:eastAsia="zh-CN"/>
        </w:rPr>
        <w:t>第表述，与《省规定》保持一致。</w:t>
      </w:r>
    </w:p>
    <w:p w14:paraId="2D144982">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b w:val="0"/>
          <w:bCs w:val="0"/>
          <w:color w:val="000000"/>
          <w:sz w:val="32"/>
          <w:szCs w:val="32"/>
          <w:highlight w:val="none"/>
          <w:u w:val="none"/>
          <w:lang w:val="en-US" w:eastAsia="zh-CN"/>
        </w:rPr>
      </w:pPr>
      <w:r>
        <w:rPr>
          <w:rFonts w:hint="eastAsia" w:ascii="Times New Roman" w:hAnsi="Times New Roman" w:eastAsia="仿宋_GB2312" w:cs="仿宋_GB2312"/>
          <w:snapToGrid/>
          <w:color w:val="000000"/>
          <w:kern w:val="2"/>
          <w:sz w:val="32"/>
          <w:szCs w:val="32"/>
          <w:highlight w:val="none"/>
          <w:u w:val="none"/>
          <w:lang w:val="en-US" w:eastAsia="zh-CN"/>
        </w:rPr>
        <w:t>8.第十一条</w:t>
      </w:r>
      <w:r>
        <w:rPr>
          <w:rFonts w:hint="eastAsia" w:ascii="Times New Roman" w:hAnsi="Times New Roman" w:eastAsia="仿宋_GB2312" w:cs="仿宋_GB2312"/>
          <w:color w:val="000000"/>
          <w:sz w:val="32"/>
          <w:szCs w:val="32"/>
          <w:highlight w:val="none"/>
          <w:u w:val="none"/>
          <w:lang w:eastAsia="zh-CN"/>
        </w:rPr>
        <w:t>【裁量权规则和基准规定的全过程适用】：</w:t>
      </w:r>
      <w:r>
        <w:rPr>
          <w:rFonts w:hint="eastAsia" w:ascii="Times New Roman" w:hAnsi="Times New Roman" w:eastAsia="仿宋_GB2312" w:cs="仿宋_GB2312"/>
          <w:b/>
          <w:bCs/>
          <w:color w:val="000000"/>
          <w:sz w:val="32"/>
          <w:szCs w:val="32"/>
          <w:highlight w:val="none"/>
          <w:u w:val="none"/>
          <w:lang w:eastAsia="zh-CN"/>
        </w:rPr>
        <w:t>一是</w:t>
      </w:r>
      <w:r>
        <w:rPr>
          <w:rFonts w:hint="eastAsia" w:ascii="Times New Roman" w:hAnsi="Times New Roman" w:eastAsia="仿宋_GB2312" w:cs="仿宋_GB2312"/>
          <w:color w:val="000000"/>
          <w:sz w:val="32"/>
          <w:szCs w:val="32"/>
          <w:highlight w:val="none"/>
          <w:u w:val="none"/>
          <w:lang w:val="en-US" w:eastAsia="zh-CN"/>
        </w:rPr>
        <w:t>将</w:t>
      </w:r>
      <w:r>
        <w:rPr>
          <w:rFonts w:hint="eastAsia" w:ascii="Times New Roman" w:hAnsi="Times New Roman" w:eastAsia="仿宋_GB2312" w:cs="仿宋_GB2312"/>
          <w:sz w:val="32"/>
          <w:szCs w:val="32"/>
          <w:highlight w:val="none"/>
          <w:lang w:val="en-US" w:eastAsia="zh-CN"/>
        </w:rPr>
        <w:t>“对从重处罚、从轻处罚、不予处罚的案件”改为“对从重处罚、从轻或减轻处罚、不予处罚的案件”，补充“减轻处罚”情形，保持案卷归档的一致性；</w:t>
      </w:r>
      <w:r>
        <w:rPr>
          <w:rFonts w:hint="eastAsia" w:ascii="Times New Roman" w:hAnsi="Times New Roman" w:eastAsia="仿宋_GB2312" w:cs="仿宋_GB2312"/>
          <w:b/>
          <w:bCs/>
          <w:color w:val="000000"/>
          <w:sz w:val="32"/>
          <w:szCs w:val="32"/>
          <w:highlight w:val="none"/>
          <w:u w:val="none"/>
          <w:lang w:val="en-US" w:eastAsia="zh-CN"/>
        </w:rPr>
        <w:t>二是</w:t>
      </w:r>
      <w:r>
        <w:rPr>
          <w:rFonts w:hint="eastAsia" w:ascii="Times New Roman" w:hAnsi="Times New Roman" w:eastAsia="仿宋_GB2312" w:cs="仿宋_GB2312"/>
          <w:sz w:val="32"/>
          <w:szCs w:val="32"/>
          <w:highlight w:val="none"/>
          <w:lang w:val="en-US" w:eastAsia="zh-CN"/>
        </w:rPr>
        <w:t>将“对符合本规则第十一条第五项情形的重大案件，应当经集体审议”改为“对符合《生态环境行政处罚办法》第五十二条情形的案件，应当集体讨论决定”，避免循环引用，规范法律依据表述；</w:t>
      </w:r>
      <w:r>
        <w:rPr>
          <w:rFonts w:hint="eastAsia" w:ascii="Times New Roman" w:hAnsi="Times New Roman" w:eastAsia="仿宋_GB2312" w:cs="仿宋_GB2312"/>
          <w:b/>
          <w:bCs/>
          <w:color w:val="000000"/>
          <w:sz w:val="32"/>
          <w:szCs w:val="32"/>
          <w:highlight w:val="none"/>
          <w:u w:val="none"/>
          <w:lang w:val="en-US" w:eastAsia="zh-CN"/>
        </w:rPr>
        <w:t>三是</w:t>
      </w:r>
      <w:r>
        <w:rPr>
          <w:rFonts w:hint="eastAsia" w:ascii="Times New Roman" w:hAnsi="Times New Roman" w:eastAsia="仿宋_GB2312" w:cs="仿宋_GB2312"/>
          <w:color w:val="000000"/>
          <w:sz w:val="32"/>
          <w:szCs w:val="32"/>
          <w:highlight w:val="none"/>
          <w:u w:val="none"/>
          <w:lang w:val="en-US" w:eastAsia="zh-CN"/>
        </w:rPr>
        <w:t>增加一款</w:t>
      </w:r>
      <w:r>
        <w:rPr>
          <w:rFonts w:hint="eastAsia" w:ascii="Times New Roman" w:hAnsi="Times New Roman" w:eastAsia="仿宋_GB2312" w:cs="仿宋_GB2312"/>
          <w:b w:val="0"/>
          <w:bCs w:val="0"/>
          <w:color w:val="000000"/>
          <w:sz w:val="32"/>
          <w:szCs w:val="32"/>
          <w:highlight w:val="none"/>
          <w:u w:val="none"/>
          <w:lang w:val="en-US" w:eastAsia="zh-CN"/>
        </w:rPr>
        <w:t>“</w:t>
      </w:r>
      <w:r>
        <w:rPr>
          <w:rFonts w:hint="eastAsia" w:ascii="Times New Roman" w:hAnsi="Times New Roman" w:eastAsia="仿宋_GB2312" w:cs="仿宋_GB2312"/>
          <w:b w:val="0"/>
          <w:bCs w:val="0"/>
          <w:sz w:val="32"/>
          <w:szCs w:val="32"/>
        </w:rPr>
        <w:t>全市生态环境行政执法机构，要将党建工作要求、廉洁执法规定融入案件受理、调查取证、处罚决定、执行整改等执法全流程，确保严格规范公正文明执法</w:t>
      </w:r>
      <w:r>
        <w:rPr>
          <w:rFonts w:hint="eastAsia" w:ascii="Times New Roman" w:hAnsi="Times New Roman" w:eastAsia="仿宋_GB2312" w:cs="仿宋_GB2312"/>
          <w:b w:val="0"/>
          <w:bCs w:val="0"/>
          <w:color w:val="000000"/>
          <w:sz w:val="32"/>
          <w:szCs w:val="32"/>
          <w:highlight w:val="none"/>
          <w:u w:val="none"/>
          <w:lang w:val="en-US" w:eastAsia="zh-CN"/>
        </w:rPr>
        <w:t>”。</w:t>
      </w:r>
    </w:p>
    <w:p w14:paraId="10CC21D5">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color w:val="000000"/>
          <w:sz w:val="32"/>
          <w:szCs w:val="32"/>
          <w:highlight w:val="none"/>
          <w:u w:val="none"/>
          <w:lang w:val="en-US" w:eastAsia="zh-CN"/>
        </w:rPr>
        <w:t>9.第十三条</w:t>
      </w:r>
      <w:r>
        <w:rPr>
          <w:rFonts w:hint="eastAsia" w:ascii="Times New Roman" w:hAnsi="Times New Roman" w:eastAsia="仿宋_GB2312" w:cs="仿宋_GB2312"/>
          <w:sz w:val="32"/>
          <w:szCs w:val="32"/>
        </w:rPr>
        <w:t>【法律适用原则】</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Cs/>
          <w:sz w:val="32"/>
          <w:szCs w:val="32"/>
          <w:highlight w:val="none"/>
          <w:lang w:val="en-US" w:eastAsia="zh-CN"/>
        </w:rPr>
        <w:t>明确同一违法行为有不同规定时，应遵循上位法优于下位法，从旧兼从轻原则，为基层执法人员提供了清晰的法律适用指引。</w:t>
      </w:r>
    </w:p>
    <w:p w14:paraId="4AC0012E">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jc w:val="both"/>
        <w:textAlignment w:val="top"/>
        <w:rPr>
          <w:rFonts w:hint="eastAsia" w:ascii="Times New Roman" w:hAnsi="Times New Roman" w:eastAsia="仿宋_GB2312" w:cs="仿宋_GB2312"/>
          <w:b w:val="0"/>
          <w:bCs/>
          <w:sz w:val="32"/>
          <w:szCs w:val="32"/>
          <w:highlight w:val="none"/>
          <w:lang w:val="en-US" w:eastAsia="zh-CN"/>
        </w:rPr>
      </w:pPr>
      <w:r>
        <w:rPr>
          <w:rFonts w:hint="eastAsia" w:ascii="Times New Roman" w:hAnsi="Times New Roman" w:eastAsia="仿宋_GB2312" w:cs="仿宋_GB2312"/>
          <w:bCs/>
          <w:sz w:val="32"/>
          <w:szCs w:val="32"/>
          <w:highlight w:val="none"/>
          <w:lang w:val="en-US" w:eastAsia="zh-CN"/>
        </w:rPr>
        <w:t>10.第十四条</w:t>
      </w:r>
      <w:r>
        <w:rPr>
          <w:rFonts w:hint="eastAsia" w:ascii="Times New Roman" w:hAnsi="Times New Roman" w:eastAsia="仿宋_GB2312" w:cs="仿宋_GB2312"/>
          <w:color w:val="000000"/>
          <w:sz w:val="32"/>
          <w:szCs w:val="32"/>
          <w:highlight w:val="none"/>
          <w:u w:val="none"/>
          <w:lang w:eastAsia="zh-CN"/>
        </w:rPr>
        <w:t>【术语含义及认定】：</w:t>
      </w:r>
      <w:r>
        <w:rPr>
          <w:rFonts w:hint="eastAsia" w:ascii="Times New Roman" w:hAnsi="Times New Roman" w:eastAsia="仿宋_GB2312" w:cs="仿宋_GB2312"/>
          <w:b/>
          <w:bCs w:val="0"/>
          <w:sz w:val="32"/>
          <w:szCs w:val="32"/>
          <w:highlight w:val="none"/>
          <w:lang w:val="en-US" w:eastAsia="zh-CN"/>
        </w:rPr>
        <w:t>一是</w:t>
      </w:r>
      <w:r>
        <w:rPr>
          <w:rFonts w:hint="eastAsia" w:ascii="Times New Roman" w:hAnsi="Times New Roman" w:eastAsia="仿宋_GB2312" w:cs="仿宋_GB2312"/>
          <w:b w:val="0"/>
          <w:bCs/>
          <w:sz w:val="32"/>
          <w:szCs w:val="32"/>
          <w:highlight w:val="none"/>
          <w:lang w:val="en-US" w:eastAsia="zh-CN"/>
        </w:rPr>
        <w:t>重新定义“二年内”及增加“同类违法行为”认定，将“二年内”定义修改为以第一次违法行为受行政处罚生效日与又实施相应行为日的时间间隔计算确定，新增“同类违法行为”定义，明确累犯认定时间起算点和标准，增强可操作性；</w:t>
      </w:r>
      <w:r>
        <w:rPr>
          <w:rFonts w:hint="eastAsia" w:ascii="Times New Roman" w:hAnsi="Times New Roman" w:eastAsia="仿宋_GB2312" w:cs="仿宋_GB2312"/>
          <w:b/>
          <w:bCs w:val="0"/>
          <w:sz w:val="32"/>
          <w:szCs w:val="32"/>
          <w:highlight w:val="none"/>
          <w:lang w:val="en-US" w:eastAsia="zh-CN"/>
        </w:rPr>
        <w:t>二是</w:t>
      </w:r>
      <w:r>
        <w:rPr>
          <w:rFonts w:hint="eastAsia" w:ascii="Times New Roman" w:hAnsi="Times New Roman" w:eastAsia="仿宋_GB2312" w:cs="仿宋_GB2312"/>
          <w:b w:val="0"/>
          <w:bCs/>
          <w:sz w:val="32"/>
          <w:szCs w:val="32"/>
          <w:highlight w:val="none"/>
          <w:lang w:val="en-US" w:eastAsia="zh-CN"/>
        </w:rPr>
        <w:t>调整“小时烟气流量”证据范围，修改“超标当日”为“超标时段”，删除“在线”二字，由以“超标当日在线小时烟气流量最高值认定”修改为“超标时段小时烟气流量最高值认定”；</w:t>
      </w:r>
      <w:r>
        <w:rPr>
          <w:rFonts w:hint="eastAsia" w:ascii="Times New Roman" w:hAnsi="Times New Roman" w:eastAsia="仿宋_GB2312" w:cs="仿宋_GB2312"/>
          <w:b/>
          <w:bCs w:val="0"/>
          <w:sz w:val="32"/>
          <w:szCs w:val="32"/>
          <w:highlight w:val="none"/>
          <w:lang w:val="en-US" w:eastAsia="zh-CN"/>
        </w:rPr>
        <w:t>三是</w:t>
      </w:r>
      <w:r>
        <w:rPr>
          <w:rFonts w:hint="eastAsia" w:ascii="Times New Roman" w:hAnsi="Times New Roman" w:eastAsia="仿宋_GB2312" w:cs="仿宋_GB2312"/>
          <w:b w:val="0"/>
          <w:bCs/>
          <w:sz w:val="32"/>
          <w:szCs w:val="32"/>
          <w:highlight w:val="none"/>
          <w:lang w:val="en-US" w:eastAsia="zh-CN"/>
        </w:rPr>
        <w:t>扩大“废水日排放量”证据范围，删除“在线”二字，由以超标当日在线污水排放量认定改为以超标当日污水排放量认定，手工监测数据也可作为认定依据；</w:t>
      </w:r>
      <w:r>
        <w:rPr>
          <w:rFonts w:hint="eastAsia" w:ascii="Times New Roman" w:hAnsi="Times New Roman" w:eastAsia="仿宋_GB2312" w:cs="仿宋_GB2312"/>
          <w:b/>
          <w:bCs w:val="0"/>
          <w:sz w:val="32"/>
          <w:szCs w:val="32"/>
          <w:highlight w:val="none"/>
          <w:lang w:val="en-US" w:eastAsia="zh-CN"/>
        </w:rPr>
        <w:t>四是</w:t>
      </w:r>
      <w:r>
        <w:rPr>
          <w:rFonts w:hint="eastAsia" w:ascii="Times New Roman" w:hAnsi="Times New Roman" w:eastAsia="仿宋_GB2312" w:cs="仿宋_GB2312"/>
          <w:b w:val="0"/>
          <w:bCs/>
          <w:sz w:val="32"/>
          <w:szCs w:val="32"/>
          <w:highlight w:val="none"/>
          <w:lang w:val="en-US" w:eastAsia="zh-CN"/>
        </w:rPr>
        <w:t>明确“三日”“五日”“七日”指工作日，不含法定节假日，使裁量规则期限</w:t>
      </w:r>
      <w:bookmarkStart w:id="1" w:name="_GoBack"/>
      <w:bookmarkEnd w:id="1"/>
      <w:r>
        <w:rPr>
          <w:rFonts w:hint="eastAsia" w:ascii="Times New Roman" w:hAnsi="Times New Roman" w:eastAsia="仿宋_GB2312" w:cs="仿宋_GB2312"/>
          <w:b w:val="0"/>
          <w:bCs/>
          <w:sz w:val="32"/>
          <w:szCs w:val="32"/>
          <w:highlight w:val="none"/>
          <w:lang w:val="en-US" w:eastAsia="zh-CN"/>
        </w:rPr>
        <w:t>计算标准与《生态环境行政处罚办法》一致，避免节假日计算争议</w:t>
      </w:r>
      <w:r>
        <w:rPr>
          <w:rFonts w:hint="eastAsia" w:ascii="Times New Roman" w:hAnsi="Times New Roman" w:eastAsia="仿宋_GB2312" w:cs="仿宋_GB2312"/>
          <w:b/>
          <w:bCs w:val="0"/>
          <w:sz w:val="32"/>
          <w:szCs w:val="32"/>
          <w:highlight w:val="none"/>
          <w:lang w:val="en-US" w:eastAsia="zh-CN"/>
        </w:rPr>
        <w:t>；五是</w:t>
      </w:r>
      <w:r>
        <w:rPr>
          <w:rFonts w:hint="eastAsia" w:ascii="Times New Roman" w:hAnsi="Times New Roman" w:eastAsia="仿宋_GB2312" w:cs="仿宋_GB2312"/>
          <w:b w:val="0"/>
          <w:bCs/>
          <w:sz w:val="32"/>
          <w:szCs w:val="32"/>
          <w:highlight w:val="none"/>
          <w:lang w:val="en-US" w:eastAsia="zh-CN"/>
        </w:rPr>
        <w:t xml:space="preserve">统一数值范围认定，规定“以上”“以下”“以内”均包含本数，“不足”不含本数，消除解释歧义。 </w:t>
      </w:r>
    </w:p>
    <w:p w14:paraId="395587DE">
      <w:pPr>
        <w:keepNext w:val="0"/>
        <w:keepLines w:val="0"/>
        <w:pageBreakBefore w:val="0"/>
        <w:widowControl/>
        <w:suppressLineNumbers w:val="0"/>
        <w:kinsoku/>
        <w:wordWrap/>
        <w:overflowPunct/>
        <w:autoSpaceDE/>
        <w:autoSpaceDN/>
        <w:bidi w:val="0"/>
        <w:adjustRightInd/>
        <w:snapToGrid/>
        <w:spacing w:line="570" w:lineRule="exact"/>
        <w:ind w:firstLine="640" w:firstLineChars="200"/>
        <w:jc w:val="left"/>
        <w:rPr>
          <w:rFonts w:hint="eastAsia" w:ascii="Times New Roman" w:hAnsi="Times New Roman" w:eastAsia="仿宋_GB2312" w:cs="仿宋_GB2312"/>
          <w:color w:val="000000"/>
          <w:kern w:val="0"/>
          <w:sz w:val="32"/>
          <w:szCs w:val="32"/>
          <w:highlight w:val="none"/>
          <w:u w:val="none"/>
          <w:lang w:eastAsia="zh-CN"/>
        </w:rPr>
      </w:pPr>
      <w:r>
        <w:rPr>
          <w:rFonts w:hint="eastAsia" w:ascii="Times New Roman" w:hAnsi="Times New Roman" w:eastAsia="仿宋_GB2312" w:cs="仿宋_GB2312"/>
          <w:color w:val="000000"/>
          <w:sz w:val="32"/>
          <w:szCs w:val="32"/>
          <w:highlight w:val="none"/>
          <w:u w:val="none"/>
          <w:lang w:val="en-US" w:eastAsia="zh-CN"/>
        </w:rPr>
        <w:t>11.</w:t>
      </w:r>
      <w:r>
        <w:rPr>
          <w:rFonts w:hint="eastAsia" w:ascii="Times New Roman" w:hAnsi="Times New Roman" w:eastAsia="仿宋_GB2312" w:cs="仿宋_GB2312"/>
          <w:color w:val="000000"/>
          <w:sz w:val="32"/>
          <w:szCs w:val="32"/>
          <w:highlight w:val="none"/>
          <w:u w:val="none"/>
          <w:lang w:eastAsia="zh-CN"/>
        </w:rPr>
        <w:t>第十六条【施行日期】：</w:t>
      </w:r>
      <w:r>
        <w:rPr>
          <w:rFonts w:hint="eastAsia" w:ascii="Times New Roman" w:hAnsi="Times New Roman" w:eastAsia="仿宋_GB2312" w:cs="仿宋_GB2312"/>
          <w:b/>
          <w:bCs/>
          <w:color w:val="000000"/>
          <w:sz w:val="32"/>
          <w:szCs w:val="32"/>
          <w:highlight w:val="none"/>
          <w:u w:val="none"/>
          <w:lang w:eastAsia="zh-CN"/>
        </w:rPr>
        <w:t>一是</w:t>
      </w:r>
      <w:r>
        <w:rPr>
          <w:rFonts w:hint="eastAsia" w:ascii="Times New Roman" w:hAnsi="Times New Roman" w:eastAsia="仿宋_GB2312" w:cs="仿宋_GB2312"/>
          <w:color w:val="000000"/>
          <w:sz w:val="32"/>
          <w:szCs w:val="32"/>
          <w:highlight w:val="none"/>
          <w:u w:val="none"/>
          <w:lang w:eastAsia="zh-CN"/>
        </w:rPr>
        <w:t>明确细则（</w:t>
      </w:r>
      <w:r>
        <w:rPr>
          <w:rFonts w:hint="eastAsia" w:ascii="Times New Roman" w:hAnsi="Times New Roman" w:eastAsia="仿宋_GB2312" w:cs="仿宋_GB2312"/>
          <w:color w:val="000000"/>
          <w:sz w:val="32"/>
          <w:szCs w:val="32"/>
          <w:highlight w:val="none"/>
          <w:u w:val="none"/>
          <w:lang w:val="en-US" w:eastAsia="zh-CN"/>
        </w:rPr>
        <w:t>2026年版）施行日期；</w:t>
      </w:r>
      <w:r>
        <w:rPr>
          <w:rFonts w:hint="eastAsia" w:ascii="Times New Roman" w:hAnsi="Times New Roman" w:eastAsia="仿宋_GB2312" w:cs="仿宋_GB2312"/>
          <w:b/>
          <w:bCs/>
          <w:color w:val="000000"/>
          <w:sz w:val="32"/>
          <w:szCs w:val="32"/>
          <w:highlight w:val="none"/>
          <w:u w:val="none"/>
          <w:lang w:val="en-US" w:eastAsia="zh-CN"/>
        </w:rPr>
        <w:t>二是</w:t>
      </w:r>
      <w:r>
        <w:rPr>
          <w:rFonts w:hint="eastAsia" w:ascii="Times New Roman" w:hAnsi="Times New Roman" w:eastAsia="仿宋_GB2312" w:cs="仿宋_GB2312"/>
          <w:color w:val="000000"/>
          <w:sz w:val="32"/>
          <w:szCs w:val="32"/>
          <w:highlight w:val="none"/>
          <w:u w:val="none"/>
          <w:lang w:eastAsia="zh-CN"/>
        </w:rPr>
        <w:t>明确细则（</w:t>
      </w:r>
      <w:r>
        <w:rPr>
          <w:rFonts w:hint="eastAsia" w:ascii="Times New Roman" w:hAnsi="Times New Roman" w:eastAsia="仿宋_GB2312" w:cs="仿宋_GB2312"/>
          <w:color w:val="000000"/>
          <w:sz w:val="32"/>
          <w:szCs w:val="32"/>
          <w:highlight w:val="none"/>
          <w:u w:val="none"/>
          <w:lang w:val="en-US" w:eastAsia="zh-CN"/>
        </w:rPr>
        <w:t>2026年版）施行后，</w:t>
      </w:r>
      <w:r>
        <w:rPr>
          <w:rFonts w:hint="eastAsia" w:ascii="Times New Roman" w:hAnsi="Times New Roman" w:eastAsia="仿宋_GB2312" w:cs="仿宋_GB2312"/>
          <w:color w:val="000000"/>
          <w:kern w:val="0"/>
          <w:sz w:val="32"/>
          <w:szCs w:val="32"/>
          <w:highlight w:val="none"/>
          <w:u w:val="none"/>
          <w:lang w:eastAsia="zh-CN"/>
        </w:rPr>
        <w:t>《细则》（</w:t>
      </w:r>
      <w:r>
        <w:rPr>
          <w:rFonts w:hint="eastAsia" w:ascii="Times New Roman" w:hAnsi="Times New Roman" w:eastAsia="仿宋_GB2312" w:cs="仿宋_GB2312"/>
          <w:color w:val="000000"/>
          <w:kern w:val="0"/>
          <w:sz w:val="32"/>
          <w:szCs w:val="32"/>
          <w:highlight w:val="none"/>
          <w:u w:val="none"/>
          <w:lang w:val="en-US" w:eastAsia="zh-CN"/>
        </w:rPr>
        <w:t>2024年版）</w:t>
      </w:r>
      <w:r>
        <w:rPr>
          <w:rFonts w:hint="eastAsia" w:ascii="Times New Roman" w:hAnsi="Times New Roman" w:eastAsia="仿宋_GB2312" w:cs="仿宋_GB2312"/>
          <w:color w:val="000000"/>
          <w:kern w:val="0"/>
          <w:sz w:val="32"/>
          <w:szCs w:val="32"/>
          <w:highlight w:val="none"/>
          <w:u w:val="none"/>
          <w:lang w:eastAsia="zh-CN"/>
        </w:rPr>
        <w:t>》</w:t>
      </w:r>
      <w:r>
        <w:rPr>
          <w:rFonts w:hint="eastAsia" w:ascii="Times New Roman" w:hAnsi="Times New Roman" w:eastAsia="仿宋_GB2312" w:cs="仿宋_GB2312"/>
          <w:color w:val="000000"/>
          <w:kern w:val="0"/>
          <w:sz w:val="32"/>
          <w:szCs w:val="32"/>
          <w:highlight w:val="none"/>
          <w:u w:val="none"/>
          <w:lang w:val="en-US" w:eastAsia="zh-CN"/>
        </w:rPr>
        <w:t>《关于印发昆明市生态环境局容错纠错“五张清单”（2025年版）的通知》（便函〔2025〕558号）</w:t>
      </w:r>
      <w:r>
        <w:rPr>
          <w:rFonts w:hint="eastAsia" w:ascii="Times New Roman" w:hAnsi="Times New Roman" w:eastAsia="仿宋_GB2312" w:cs="仿宋_GB2312"/>
          <w:color w:val="000000"/>
          <w:kern w:val="0"/>
          <w:sz w:val="32"/>
          <w:szCs w:val="32"/>
          <w:highlight w:val="none"/>
          <w:u w:val="none"/>
          <w:lang w:eastAsia="zh-CN"/>
        </w:rPr>
        <w:t>同时废止。</w:t>
      </w:r>
    </w:p>
    <w:p w14:paraId="69031BC3">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楷体_GB2312" w:cs="楷体_GB2312"/>
          <w:color w:val="000000"/>
          <w:sz w:val="32"/>
          <w:szCs w:val="32"/>
          <w:highlight w:val="none"/>
          <w:u w:val="none"/>
          <w:lang w:val="en-US" w:eastAsia="zh-CN" w:bidi="ar-SA"/>
        </w:rPr>
        <w:t>（二）裁量基准部分。</w:t>
      </w:r>
      <w:r>
        <w:rPr>
          <w:rFonts w:hint="eastAsia" w:ascii="Times New Roman" w:hAnsi="Times New Roman" w:eastAsia="仿宋_GB2312" w:cs="仿宋_GB2312"/>
          <w:color w:val="000000"/>
          <w:sz w:val="32"/>
          <w:szCs w:val="32"/>
          <w:highlight w:val="none"/>
          <w:u w:val="none"/>
          <w:lang w:val="en-US" w:eastAsia="zh-CN" w:bidi="ar-SA"/>
        </w:rPr>
        <w:t>《昆明市生态环境行政处罚裁量权基准补充表》（2026年版）（以下简称《市裁量基准表》（2026年版））共设九类3</w:t>
      </w:r>
      <w:r>
        <w:rPr>
          <w:rFonts w:hint="eastAsia" w:eastAsia="仿宋_GB2312" w:cs="仿宋_GB2312"/>
          <w:color w:val="000000"/>
          <w:sz w:val="32"/>
          <w:szCs w:val="32"/>
          <w:highlight w:val="none"/>
          <w:u w:val="none"/>
          <w:lang w:val="en-US" w:eastAsia="zh-CN" w:bidi="ar-SA"/>
        </w:rPr>
        <w:t>5</w:t>
      </w:r>
      <w:r>
        <w:rPr>
          <w:rFonts w:hint="eastAsia" w:ascii="Times New Roman" w:hAnsi="Times New Roman" w:eastAsia="仿宋_GB2312" w:cs="仿宋_GB2312"/>
          <w:color w:val="000000"/>
          <w:sz w:val="32"/>
          <w:szCs w:val="32"/>
          <w:highlight w:val="none"/>
          <w:u w:val="none"/>
          <w:lang w:val="en-US" w:eastAsia="zh-CN" w:bidi="ar-SA"/>
        </w:rPr>
        <w:t>项个性裁量基准，对《省规定》所附《云南省生态环境行政处罚裁量权基准表》（以下简称《省基准表》未细化、未收录的事项作出补充规定。新增监测管理、环评技术单位、化学物质、绿色低碳、消耗臭氧层物质等类别事项，有效衔接《生态环境法典》《生态环境监测条例》《碳排放权交易管理暂行条例》等。主要内容如下：</w:t>
      </w:r>
    </w:p>
    <w:p w14:paraId="3CC1254D">
      <w:pPr>
        <w:spacing w:after="120" w:afterLines="50" w:line="480" w:lineRule="exact"/>
        <w:ind w:firstLine="640" w:firstLineChars="200"/>
        <w:rPr>
          <w:rFonts w:hint="eastAsia"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1.个性裁量基准部分：</w:t>
      </w:r>
      <w:r>
        <w:rPr>
          <w:rFonts w:hint="eastAsia" w:ascii="Times New Roman" w:hAnsi="Times New Roman" w:eastAsia="仿宋_GB2312" w:cs="仿宋_GB2312"/>
          <w:b/>
          <w:bCs/>
          <w:color w:val="000000"/>
          <w:sz w:val="32"/>
          <w:szCs w:val="32"/>
          <w:highlight w:val="none"/>
          <w:u w:val="none"/>
          <w:lang w:val="en-US" w:eastAsia="zh-CN" w:bidi="ar-SA"/>
        </w:rPr>
        <w:t>一是</w:t>
      </w:r>
      <w:r>
        <w:rPr>
          <w:rFonts w:hint="eastAsia" w:ascii="Times New Roman" w:hAnsi="Times New Roman" w:eastAsia="仿宋_GB2312" w:cs="仿宋_GB2312"/>
          <w:color w:val="000000"/>
          <w:sz w:val="32"/>
          <w:szCs w:val="32"/>
          <w:highlight w:val="none"/>
          <w:u w:val="none"/>
          <w:lang w:val="en-US" w:eastAsia="zh-CN" w:bidi="ar-SA"/>
        </w:rPr>
        <w:t>2024版25项中有12项在2026版中保留（含归并重构、更名），且有11个保留项内部删除部分裁量因子，分别是“未依法取得排污许可证排放污染物的行为”“拒绝、阻挠监督检查，或者在接受监督检查时弄虚作假的行为”“逃避监管排放污染物的行为”“超标或超总量排放污染物的行为”“侵占、损毁或者擅自移动、改变大气环境质量监测设施或者大气污染物排放自动监测设备的行为”“未按规定对所排放的工业废气和有毒有害大气污染物进行监测并保存原始监测记录的行为”“排污单位未按规定安装、使用大气污染物排放自动监测设备或未与监控设备联网并保证正常运行的行为”“排污单位不公开或者不如实公开自动监测数据的行为”“未按照规定设置大气污染物排放口的行为”“工业涂装企业未使用低挥发性有机物含量涂料或者未建立、保存台账的行为部分删除裁量因素及档位”“储油储气库、加油加气站和油罐车、气罐车等未按国家有关规定安装并正常使用油气回收装置的行为”“禁燃区高污染燃料、VOCs密闭、餐饮油烟选址、服装干洗机动车维修、水体排放剧毒废液、向水体倾倒废弃物、禁养区建设养殖场等”。</w:t>
      </w:r>
      <w:r>
        <w:rPr>
          <w:rFonts w:hint="eastAsia" w:ascii="Times New Roman" w:hAnsi="Times New Roman" w:eastAsia="仿宋_GB2312" w:cs="仿宋_GB2312"/>
          <w:b/>
          <w:bCs/>
          <w:color w:val="000000"/>
          <w:sz w:val="32"/>
          <w:szCs w:val="32"/>
          <w:highlight w:val="none"/>
          <w:u w:val="none"/>
          <w:lang w:val="en-US" w:eastAsia="zh-CN" w:bidi="ar-SA"/>
        </w:rPr>
        <w:t>二是</w:t>
      </w:r>
      <w:r>
        <w:rPr>
          <w:rFonts w:hint="eastAsia" w:ascii="Times New Roman" w:hAnsi="Times New Roman" w:eastAsia="仿宋_GB2312" w:cs="仿宋_GB2312"/>
          <w:color w:val="000000"/>
          <w:sz w:val="32"/>
          <w:szCs w:val="32"/>
          <w:highlight w:val="none"/>
          <w:u w:val="none"/>
          <w:lang w:val="en-US" w:eastAsia="zh-CN" w:bidi="ar-SA"/>
        </w:rPr>
        <w:t>2024版中7项的行为实质由2026版其他条目合并承接，对应收录或仅新增地方性法律规定。</w:t>
      </w:r>
      <w:r>
        <w:rPr>
          <w:rFonts w:hint="eastAsia" w:ascii="Times New Roman" w:hAnsi="Times New Roman" w:eastAsia="仿宋_GB2312" w:cs="仿宋_GB2312"/>
          <w:b/>
          <w:bCs/>
          <w:color w:val="000000"/>
          <w:sz w:val="32"/>
          <w:szCs w:val="32"/>
          <w:highlight w:val="none"/>
          <w:u w:val="none"/>
          <w:lang w:val="en-US" w:eastAsia="zh-CN" w:bidi="ar-SA"/>
        </w:rPr>
        <w:t>三是</w:t>
      </w:r>
      <w:r>
        <w:rPr>
          <w:rFonts w:hint="eastAsia" w:ascii="Times New Roman" w:hAnsi="Times New Roman" w:eastAsia="仿宋_GB2312" w:cs="仿宋_GB2312"/>
          <w:color w:val="000000"/>
          <w:sz w:val="32"/>
          <w:szCs w:val="32"/>
          <w:highlight w:val="none"/>
          <w:u w:val="none"/>
          <w:lang w:val="en-US" w:eastAsia="zh-CN" w:bidi="ar-SA"/>
        </w:rPr>
        <w:t>2024版中5项因上位地方性法规已废止或修订予以整体删除，分别是“机动车环保检验机构未按照有关法律、法规和技术规范要求进行检验的行为（与弄虚作假的区别）”“机动车所有人或者使用人擅自拆除、更改机动车排气污染控制装置的行为”“医疗卫生机构在具备集中处置条件后，未按照县（市）区环境保护行政主管部门规定的时间停止自行处置，对医疗废物处置设施消除污染、予以拆除的行为”“在河道保护范围内建设排放氮、磷等污染物的工业项目以及污染环境、破坏生态平衡和自然景观的其他项目的行为”“在河道保护范围内倾倒、扔弃、堆放、储存、掩埋废弃物和其他污染物的行为”。</w:t>
      </w:r>
      <w:r>
        <w:rPr>
          <w:rFonts w:hint="eastAsia" w:ascii="Times New Roman" w:hAnsi="Times New Roman" w:eastAsia="仿宋_GB2312" w:cs="仿宋_GB2312"/>
          <w:b/>
          <w:bCs/>
          <w:color w:val="000000"/>
          <w:sz w:val="32"/>
          <w:szCs w:val="32"/>
          <w:highlight w:val="none"/>
          <w:u w:val="none"/>
          <w:lang w:val="en-US" w:eastAsia="zh-CN" w:bidi="ar-SA"/>
        </w:rPr>
        <w:t>四是</w:t>
      </w:r>
      <w:r>
        <w:rPr>
          <w:rFonts w:hint="eastAsia" w:ascii="Times New Roman" w:hAnsi="Times New Roman" w:eastAsia="仿宋_GB2312" w:cs="仿宋_GB2312"/>
          <w:color w:val="000000"/>
          <w:sz w:val="32"/>
          <w:szCs w:val="32"/>
          <w:highlight w:val="none"/>
          <w:u w:val="none"/>
          <w:lang w:val="en-US" w:eastAsia="zh-CN" w:bidi="ar-SA"/>
        </w:rPr>
        <w:t>保留及合并承接项内部另有部分裁量因素（档位）及单行法依据条款因《省裁量基准表》已收录和法律法规被依法废止故删除。如排污许可项删除“登记管理”档、固废日产量、烟气流量/日排放量因子；逃避监管项删除排污超标状况因子等）及《水污染防治法》《大气污染防治法》等单行法依据条款。</w:t>
      </w:r>
      <w:r>
        <w:rPr>
          <w:rFonts w:hint="eastAsia" w:eastAsia="仿宋_GB2312" w:cs="仿宋_GB2312"/>
          <w:b/>
          <w:bCs/>
          <w:color w:val="000000"/>
          <w:sz w:val="32"/>
          <w:szCs w:val="32"/>
          <w:highlight w:val="none"/>
          <w:u w:val="none"/>
          <w:lang w:val="en-US" w:eastAsia="zh-CN" w:bidi="ar-SA"/>
        </w:rPr>
        <w:t>五是</w:t>
      </w:r>
      <w:r>
        <w:rPr>
          <w:rFonts w:hint="eastAsia" w:eastAsia="仿宋_GB2312" w:cs="仿宋_GB2312"/>
          <w:color w:val="000000"/>
          <w:sz w:val="32"/>
          <w:szCs w:val="32"/>
          <w:highlight w:val="none"/>
          <w:u w:val="none"/>
          <w:lang w:val="en-US" w:eastAsia="zh-CN" w:bidi="ar-SA"/>
        </w:rPr>
        <w:t>新增个性裁量基准项15项，涉及违反生态环境监测管理规定的行为2项，违反水污染防治管理制度的行为1项，违反固体废物管理制度的行为2项，违反化学物质污染风险管控的行为2项，违反绿色低碳发展管理规定的行为2项，其他环境违法行为6项。</w:t>
      </w:r>
    </w:p>
    <w:p w14:paraId="29A5DEE5">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2.共性裁量基准部分整体保留并作个别调整。</w:t>
      </w:r>
      <w:r>
        <w:rPr>
          <w:rFonts w:hint="eastAsia" w:ascii="Times New Roman" w:hAnsi="Times New Roman" w:eastAsia="仿宋_GB2312" w:cs="仿宋_GB2312"/>
          <w:b/>
          <w:bCs/>
          <w:color w:val="000000"/>
          <w:sz w:val="32"/>
          <w:szCs w:val="32"/>
          <w:highlight w:val="none"/>
          <w:u w:val="none"/>
          <w:lang w:val="en-US" w:eastAsia="zh-CN" w:bidi="ar-SA"/>
        </w:rPr>
        <w:t>一是</w:t>
      </w:r>
      <w:r>
        <w:rPr>
          <w:rFonts w:hint="eastAsia" w:ascii="Times New Roman" w:hAnsi="Times New Roman" w:eastAsia="仿宋_GB2312" w:cs="仿宋_GB2312"/>
          <w:color w:val="000000"/>
          <w:sz w:val="32"/>
          <w:szCs w:val="32"/>
          <w:highlight w:val="none"/>
          <w:u w:val="none"/>
          <w:lang w:val="en-US" w:eastAsia="zh-CN" w:bidi="ar-SA"/>
        </w:rPr>
        <w:t>删除“区域影响/引发关注”第5档因子中的“/引发集访（5人以上）等重大群体性事件，电视、电台、报刊、网络等主流媒体曝光报道等”表述。与《省规定》共性基准“区域影响”第5档表述一致，同时避免与从重处罚情形重复评价。</w:t>
      </w:r>
      <w:r>
        <w:rPr>
          <w:rFonts w:hint="eastAsia" w:ascii="Times New Roman" w:hAnsi="Times New Roman" w:eastAsia="仿宋_GB2312" w:cs="仿宋_GB2312"/>
          <w:b/>
          <w:bCs/>
          <w:color w:val="000000"/>
          <w:sz w:val="32"/>
          <w:szCs w:val="32"/>
          <w:highlight w:val="none"/>
          <w:u w:val="none"/>
          <w:lang w:val="en-US" w:eastAsia="zh-CN" w:bidi="ar-SA"/>
        </w:rPr>
        <w:t>二是</w:t>
      </w:r>
      <w:r>
        <w:rPr>
          <w:rFonts w:hint="eastAsia" w:ascii="Times New Roman" w:hAnsi="Times New Roman" w:eastAsia="仿宋_GB2312" w:cs="仿宋_GB2312"/>
          <w:color w:val="000000"/>
          <w:sz w:val="32"/>
          <w:szCs w:val="32"/>
          <w:highlight w:val="none"/>
          <w:u w:val="none"/>
          <w:lang w:val="en-US" w:eastAsia="zh-CN" w:bidi="ar-SA"/>
        </w:rPr>
        <w:t>新增仅适用于对法定代表人、主要负责人、直接负责的主管人员和其他直接责任人员的处罚的共性裁量基准因子。解决直接套用单位裁量因子（如环评类别、污染物种类等）用于计算对个人的罚款金额，无法完全体现双罚制下单位责任与个人责任的不同问题。结合昆明实践，综合评价其在单位环境违法行为中具体角色、主观过错程度的不同，增设该共性材料基准因子。</w:t>
      </w:r>
    </w:p>
    <w:p w14:paraId="5BC9B131">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3.修正裁量基准：与2024年版完全一致，无删除、修改。</w:t>
      </w:r>
    </w:p>
    <w:p w14:paraId="775C0B57">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4.生态环境分区管控裁量系数表：结构保留，系数区间端点调整并与《省规定》统一（优先保护单元下限由0.7上调至0.8）。</w:t>
      </w:r>
    </w:p>
    <w:p w14:paraId="757BAD79">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5.昆明市生态环境管控单元统计表：14个县（市）区各类管控单元数量及合计（132个，其中优先保护42个、重点管控76个、一般管控14个）与2024年版完全一致。</w:t>
      </w:r>
    </w:p>
    <w:p w14:paraId="4DF65310">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楷体_GB2312" w:cs="楷体_GB2312"/>
          <w:color w:val="000000"/>
          <w:sz w:val="32"/>
          <w:szCs w:val="32"/>
          <w:highlight w:val="none"/>
          <w:u w:val="none"/>
          <w:lang w:val="en-US" w:eastAsia="zh-CN" w:bidi="ar-SA"/>
        </w:rPr>
      </w:pPr>
      <w:r>
        <w:rPr>
          <w:rFonts w:hint="eastAsia" w:ascii="Times New Roman" w:hAnsi="Times New Roman" w:eastAsia="楷体_GB2312" w:cs="楷体_GB2312"/>
          <w:color w:val="000000"/>
          <w:sz w:val="32"/>
          <w:szCs w:val="32"/>
          <w:highlight w:val="none"/>
          <w:u w:val="none"/>
          <w:lang w:val="en-US" w:eastAsia="zh-CN" w:bidi="ar-SA"/>
        </w:rPr>
        <w:t>（三）新增不予处罚事项清单</w:t>
      </w:r>
    </w:p>
    <w:p w14:paraId="2C4C92AF">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仿宋_GB2312" w:cs="仿宋_GB2312"/>
          <w:color w:val="000000"/>
          <w:sz w:val="32"/>
          <w:szCs w:val="32"/>
          <w:highlight w:val="none"/>
          <w:u w:val="none"/>
          <w:lang w:val="en-US" w:eastAsia="zh-CN" w:bidi="ar-SA"/>
        </w:rPr>
      </w:pPr>
      <w:r>
        <w:rPr>
          <w:rFonts w:hint="eastAsia" w:ascii="Times New Roman" w:hAnsi="Times New Roman" w:eastAsia="仿宋_GB2312" w:cs="仿宋_GB2312"/>
          <w:color w:val="000000"/>
          <w:sz w:val="32"/>
          <w:szCs w:val="32"/>
          <w:highlight w:val="none"/>
          <w:u w:val="none"/>
          <w:lang w:val="en-US" w:eastAsia="zh-CN" w:bidi="ar-SA"/>
        </w:rPr>
        <w:t>本次修订新增了《昆明市生态环境违法行为不予处罚事项清单》（2026年版），为《省不予处罚清单》的补充细化。主要结合《细则》2024年版不予处罚和可以不予处罚保留事项，补充设置不予处罚事项3项、可以不予处罚事项6项，并明确“初次违法”的认定标准，进一步体现了宽严相济、罚教结合的原则，有利于规范涉企检查，优化营商环境，助力高质量发展与高水平保护。</w:t>
      </w:r>
    </w:p>
    <w:p w14:paraId="63ED9805">
      <w:pPr>
        <w:pStyle w:val="2"/>
        <w:keepNext w:val="0"/>
        <w:keepLines w:val="0"/>
        <w:pageBreakBefore w:val="0"/>
        <w:kinsoku/>
        <w:wordWrap/>
        <w:overflowPunct/>
        <w:autoSpaceDE/>
        <w:autoSpaceDN/>
        <w:bidi w:val="0"/>
        <w:adjustRightInd/>
        <w:snapToGrid/>
        <w:spacing w:line="570" w:lineRule="exact"/>
        <w:ind w:firstLine="640" w:firstLineChars="200"/>
        <w:rPr>
          <w:rFonts w:hint="eastAsia" w:ascii="Times New Roman" w:hAnsi="Times New Roman" w:eastAsia="黑体" w:cs="黑体"/>
          <w:color w:val="000000"/>
          <w:sz w:val="32"/>
          <w:szCs w:val="32"/>
          <w:highlight w:val="none"/>
          <w:u w:val="none"/>
          <w:lang w:val="en-US" w:eastAsia="zh-CN" w:bidi="ar-SA"/>
        </w:rPr>
      </w:pPr>
      <w:r>
        <w:rPr>
          <w:rFonts w:hint="eastAsia" w:ascii="Times New Roman" w:hAnsi="Times New Roman" w:eastAsia="黑体" w:cs="黑体"/>
          <w:color w:val="000000"/>
          <w:sz w:val="32"/>
          <w:szCs w:val="32"/>
          <w:highlight w:val="none"/>
          <w:u w:val="none"/>
          <w:lang w:val="en-US" w:eastAsia="zh-CN" w:bidi="ar-SA"/>
        </w:rPr>
        <w:t>四、其他需要说明的情况</w:t>
      </w:r>
    </w:p>
    <w:p w14:paraId="2345DB26">
      <w:pPr>
        <w:pStyle w:val="2"/>
        <w:keepNext w:val="0"/>
        <w:keepLines w:val="0"/>
        <w:pageBreakBefore w:val="0"/>
        <w:kinsoku/>
        <w:wordWrap/>
        <w:overflowPunct/>
        <w:autoSpaceDE/>
        <w:autoSpaceDN/>
        <w:bidi w:val="0"/>
        <w:adjustRightInd/>
        <w:snapToGrid/>
        <w:spacing w:line="570" w:lineRule="exact"/>
        <w:ind w:firstLine="640" w:firstLineChars="200"/>
        <w:rPr>
          <w:rFonts w:hint="default" w:ascii="Times New Roman" w:hAnsi="Times New Roman" w:eastAsia="仿宋_GB2312" w:cs="仿宋_GB2312"/>
          <w:color w:val="000000"/>
          <w:sz w:val="32"/>
          <w:szCs w:val="32"/>
          <w:highlight w:val="none"/>
          <w:u w:val="none"/>
          <w:lang w:val="en-US" w:eastAsia="zh-CN" w:bidi="ar-SA"/>
        </w:rPr>
        <w:sectPr>
          <w:headerReference r:id="rId3" w:type="default"/>
          <w:footerReference r:id="rId4" w:type="default"/>
          <w:pgSz w:w="11906" w:h="16838"/>
          <w:pgMar w:top="2098" w:right="1587" w:bottom="2098" w:left="1587" w:header="851" w:footer="992" w:gutter="0"/>
          <w:pgNumType w:fmt="numberInDash"/>
          <w:cols w:space="720" w:num="1"/>
          <w:rtlGutter w:val="0"/>
          <w:docGrid w:type="lines" w:linePitch="312" w:charSpace="0"/>
        </w:sectPr>
      </w:pPr>
      <w:r>
        <w:rPr>
          <w:rFonts w:hint="eastAsia" w:ascii="Times New Roman" w:hAnsi="Times New Roman" w:eastAsia="仿宋_GB2312" w:cs="仿宋_GB2312"/>
          <w:color w:val="000000"/>
          <w:sz w:val="32"/>
          <w:szCs w:val="32"/>
          <w:highlight w:val="none"/>
          <w:u w:val="none"/>
          <w:lang w:val="en-US" w:eastAsia="zh-CN" w:bidi="ar-SA"/>
        </w:rPr>
        <w:t>细则2026年版拟自2027年1月1日起施行，细则2024年版《关于印发昆明市生态环境局容错纠错“五张清单”（2025年版）的通知》（便函〔2025〕558号）同时废止。《细则》（2026年版）施行前已经立案、尚未作出处罚决定的案件，适用行为发生时的相关裁量权规定，但适用《细则》（2026年版）裁量后处罚较轻的，适用《细则》（2026年版）；施行后发生的行为，适用《细则》（2026年版）。《省规定》及附件修订后，《细则》（2026年版）自《省规定》修订之日起按省规定执行。《市不予处罚清单》实行动态更新，由昆明市生态环境局结合实际适时更新。</w:t>
      </w:r>
    </w:p>
    <w:p w14:paraId="10D5D8D2">
      <w:pPr>
        <w:spacing w:line="420" w:lineRule="auto"/>
        <w:rPr>
          <w:rFonts w:hint="eastAsia" w:ascii="仿宋_GB2312" w:hAnsi="仿宋_GB2312" w:eastAsia="仿宋_GB2312" w:cs="仿宋_GB2312"/>
          <w:color w:val="000000"/>
          <w:sz w:val="32"/>
          <w:szCs w:val="32"/>
          <w:highlight w:val="none"/>
          <w:u w:val="none"/>
          <w:lang w:val="en-US" w:eastAsia="zh-CN" w:bidi="ar-SA"/>
        </w:rPr>
      </w:pPr>
    </w:p>
    <w:sectPr>
      <w:footerReference r:id="rId5"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4C0876-CABF-40A9-BED3-A6447ACC5F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356BCE1-CE8B-4382-B225-70BE9C45276F}"/>
  </w:font>
  <w:font w:name="方正仿宋_GBK">
    <w:panose1 w:val="02000000000000000000"/>
    <w:charset w:val="86"/>
    <w:family w:val="auto"/>
    <w:pitch w:val="default"/>
    <w:sig w:usb0="A00002BF" w:usb1="38CF7CFA" w:usb2="00082016" w:usb3="00000000" w:csb0="00040001" w:csb1="00000000"/>
    <w:embedRegular r:id="rId3" w:fontKey="{06B7AE3E-FD77-491C-AE5C-3CE4623A2A51}"/>
  </w:font>
  <w:font w:name="仿宋">
    <w:panose1 w:val="02010609060101010101"/>
    <w:charset w:val="86"/>
    <w:family w:val="modern"/>
    <w:pitch w:val="default"/>
    <w:sig w:usb0="800002BF" w:usb1="38CF7CFA" w:usb2="00000016" w:usb3="00000000" w:csb0="00040001" w:csb1="00000000"/>
    <w:embedRegular r:id="rId4" w:fontKey="{D3F30CAC-C06C-4BC8-BC08-EA458B24D167}"/>
  </w:font>
  <w:font w:name="楷体_GB2312">
    <w:panose1 w:val="02010609030101010101"/>
    <w:charset w:val="86"/>
    <w:family w:val="auto"/>
    <w:pitch w:val="default"/>
    <w:sig w:usb0="00000001" w:usb1="080E0000" w:usb2="00000000" w:usb3="00000000" w:csb0="00040000" w:csb1="00000000"/>
    <w:embedRegular r:id="rId5" w:fontKey="{D9AB1417-9634-4E01-BD03-846D70295C6B}"/>
  </w:font>
  <w:font w:name="仿宋_GB2312">
    <w:panose1 w:val="02010609030101010101"/>
    <w:charset w:val="86"/>
    <w:family w:val="modern"/>
    <w:pitch w:val="default"/>
    <w:sig w:usb0="00000001" w:usb1="080E0000" w:usb2="00000000" w:usb3="00000000" w:csb0="00040000" w:csb1="00000000"/>
    <w:embedRegular r:id="rId6" w:fontKey="{D391D8BF-F3EB-4348-A041-54560C0144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A2AD6">
    <w:pPr>
      <w:pStyle w:val="11"/>
      <w:ind w:left="4560"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2DD656">
                          <w:pPr>
                            <w:pStyle w:val="10"/>
                            <w:rPr>
                              <w:rFonts w:hint="eastAsia" w:eastAsia="宋体"/>
                              <w:lang w:val="en-US" w:eastAsia="zh-CN"/>
                            </w:rPr>
                          </w:pPr>
                          <w:r>
                            <w:rPr>
                              <w:rFonts w:hint="eastAsia" w:ascii="宋体" w:hAnsi="宋体" w:cs="宋体"/>
                              <w:color w:val="FFFFFF"/>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cs="宋体"/>
                              <w:color w:val="FFFFFF"/>
                              <w:sz w:val="28"/>
                              <w:szCs w:val="28"/>
                              <w:lang w:eastAsia="zh-CN"/>
                            </w:rPr>
                            <w:t>—</w:t>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8nyGTucBAADH&#10;AwAADgAAAAAAAAABACAAAAAfAQAAZHJzL2Uyb0RvYy54bWxQSwUGAAAAAAYABgBZAQAAeAUAAAAA&#10;">
              <v:fill on="f" focussize="0,0"/>
              <v:stroke on="f" weight="0.5pt"/>
              <v:imagedata o:title=""/>
              <o:lock v:ext="edit" aspectratio="f"/>
              <v:textbox inset="0mm,0mm,0mm,0mm" style="mso-fit-shape-to-text:t;">
                <w:txbxContent>
                  <w:p w14:paraId="562DD656">
                    <w:pPr>
                      <w:pStyle w:val="10"/>
                      <w:rPr>
                        <w:rFonts w:hint="eastAsia" w:eastAsia="宋体"/>
                        <w:lang w:val="en-US" w:eastAsia="zh-CN"/>
                      </w:rPr>
                    </w:pPr>
                    <w:r>
                      <w:rPr>
                        <w:rFonts w:hint="eastAsia" w:ascii="宋体" w:hAnsi="宋体" w:cs="宋体"/>
                        <w:color w:val="FFFFFF"/>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cs="宋体"/>
                        <w:color w:val="FFFFFF"/>
                        <w:sz w:val="28"/>
                        <w:szCs w:val="28"/>
                        <w:lang w:eastAsia="zh-CN"/>
                      </w:rPr>
                      <w:t>—</w:t>
                    </w:r>
                  </w:p>
                </w:txbxContent>
              </v:textbox>
            </v:shape>
          </w:pict>
        </mc:Fallback>
      </mc:AlternateContent>
    </w:r>
    <w:r>
      <w:rPr>
        <w:rFonts w:hint="eastAsia" w:eastAsia="仿宋"/>
        <w:sz w:val="32"/>
        <w:szCs w:val="48"/>
        <w:lang w:val="en-US" w:eastAsia="zh-CN"/>
      </w:rPr>
      <w:t xml:space="preserve">  </w:t>
    </w:r>
  </w:p>
  <w:p w14:paraId="3EAF5FEB">
    <w:pPr>
      <w:pStyle w:val="11"/>
      <w:wordWrap w:val="0"/>
      <w:ind w:left="4560" w:leftChars="2280" w:firstLine="6400" w:firstLineChars="2000"/>
      <w:jc w:val="right"/>
      <w:rPr>
        <w:rFonts w:hint="eastAsia" w:ascii="宋体" w:hAnsi="宋体" w:eastAsia="宋体" w:cs="宋体"/>
        <w:b/>
        <w:bCs/>
        <w:color w:val="005192"/>
        <w:sz w:val="28"/>
        <w:szCs w:val="44"/>
        <w:lang w:val="en-US" w:eastAsia="zh-CN"/>
      </w:rPr>
    </w:pPr>
    <w:r>
      <w:rPr>
        <w:rFonts w:hint="eastAsia" w:eastAsia="仿宋"/>
        <w:sz w:val="32"/>
        <w:szCs w:val="48"/>
        <w:lang w:val="en-US" w:eastAsia="zh-CN"/>
      </w:rPr>
      <w:t>X</w:t>
    </w:r>
    <w:r>
      <w:rPr>
        <w:rFonts w:hint="eastAsia" w:ascii="宋体" w:hAnsi="宋体" w:eastAsia="宋体" w:cs="宋体"/>
        <w:b/>
        <w:bCs/>
        <w:color w:val="005192"/>
        <w:sz w:val="28"/>
        <w:szCs w:val="44"/>
        <w:lang w:val="en-US" w:eastAsia="zh-CN"/>
      </w:rPr>
      <w:t xml:space="preserve">     </w:t>
    </w:r>
  </w:p>
  <w:p w14:paraId="7C5FFC29">
    <w:pPr>
      <w:pStyle w:val="11"/>
      <w:wordWrap w:val="0"/>
      <w:ind w:left="4560" w:leftChars="2280" w:firstLine="5622" w:firstLineChars="2000"/>
      <w:jc w:val="right"/>
      <w:rPr>
        <w:rFonts w:hint="eastAsia" w:ascii="宋体" w:hAnsi="宋体" w:eastAsia="宋体" w:cs="宋体"/>
        <w:b/>
        <w:bCs/>
        <w:color w:val="005192"/>
        <w:sz w:val="28"/>
        <w:szCs w:val="44"/>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B717F">
    <w:pPr>
      <w:jc w:val="center"/>
    </w:pPr>
    <w:r>
      <w:rPr>
        <w:rFonts w:eastAsia="仿宋"/>
        <w:sz w:val="18"/>
        <w:szCs w:val="18"/>
      </w:rPr>
      <w:fldChar w:fldCharType="begin"/>
    </w:r>
    <w:r>
      <w:rPr>
        <w:rFonts w:eastAsia="仿宋"/>
        <w:sz w:val="18"/>
        <w:szCs w:val="18"/>
      </w:rPr>
      <w:instrText xml:space="preserve">PAGE</w:instrText>
    </w:r>
    <w:r>
      <w:rPr>
        <w:rFonts w:eastAsia="仿宋"/>
        <w:sz w:val="18"/>
        <w:szCs w:val="18"/>
      </w:rPr>
      <w:fldChar w:fldCharType="separate"/>
    </w:r>
    <w:r>
      <w:rPr>
        <w:rFonts w:eastAsia="仿宋"/>
        <w:sz w:val="18"/>
        <w:szCs w:val="18"/>
      </w:rPr>
      <w:t>1</w:t>
    </w:r>
    <w:r>
      <w:rPr>
        <w:rFonts w:eastAsia="仿宋"/>
        <w:sz w:val="18"/>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D1BD">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p>
  <w:p w14:paraId="7FD56E56">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E31E77"/>
    <w:multiLevelType w:val="singleLevel"/>
    <w:tmpl w:val="C5E31E7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8A4"/>
    <w:rsid w:val="000A2162"/>
    <w:rsid w:val="0013617D"/>
    <w:rsid w:val="00176F6C"/>
    <w:rsid w:val="00184156"/>
    <w:rsid w:val="001A03F3"/>
    <w:rsid w:val="00211668"/>
    <w:rsid w:val="0022611A"/>
    <w:rsid w:val="0029302C"/>
    <w:rsid w:val="00346225"/>
    <w:rsid w:val="003777B8"/>
    <w:rsid w:val="003B201B"/>
    <w:rsid w:val="003B63DB"/>
    <w:rsid w:val="003E030F"/>
    <w:rsid w:val="00440598"/>
    <w:rsid w:val="00441936"/>
    <w:rsid w:val="004627D5"/>
    <w:rsid w:val="004B3E34"/>
    <w:rsid w:val="0054224E"/>
    <w:rsid w:val="00575DAF"/>
    <w:rsid w:val="005A4D1E"/>
    <w:rsid w:val="005B6434"/>
    <w:rsid w:val="006954DB"/>
    <w:rsid w:val="0069682A"/>
    <w:rsid w:val="00745E2B"/>
    <w:rsid w:val="00784DCA"/>
    <w:rsid w:val="00876B84"/>
    <w:rsid w:val="008F4D9A"/>
    <w:rsid w:val="009228CB"/>
    <w:rsid w:val="009308A3"/>
    <w:rsid w:val="009A49FD"/>
    <w:rsid w:val="009D229B"/>
    <w:rsid w:val="009E3E17"/>
    <w:rsid w:val="009E4FF7"/>
    <w:rsid w:val="009F7A79"/>
    <w:rsid w:val="00A1120D"/>
    <w:rsid w:val="00A3344B"/>
    <w:rsid w:val="00A505D9"/>
    <w:rsid w:val="00A60F38"/>
    <w:rsid w:val="00BE5028"/>
    <w:rsid w:val="00C14B82"/>
    <w:rsid w:val="00C438A4"/>
    <w:rsid w:val="00C76E31"/>
    <w:rsid w:val="00CD57B7"/>
    <w:rsid w:val="00CD5B6B"/>
    <w:rsid w:val="00CE0F7F"/>
    <w:rsid w:val="00CF7EDA"/>
    <w:rsid w:val="00D16C13"/>
    <w:rsid w:val="00DE6AF7"/>
    <w:rsid w:val="00E51C2F"/>
    <w:rsid w:val="00E87DF9"/>
    <w:rsid w:val="00EC2384"/>
    <w:rsid w:val="00F115BB"/>
    <w:rsid w:val="00F523CD"/>
    <w:rsid w:val="00F755E2"/>
    <w:rsid w:val="00FD50B2"/>
    <w:rsid w:val="026F5570"/>
    <w:rsid w:val="04440DF7"/>
    <w:rsid w:val="061578F6"/>
    <w:rsid w:val="0C3245C7"/>
    <w:rsid w:val="0E627432"/>
    <w:rsid w:val="0F6D3A07"/>
    <w:rsid w:val="1E9F5CD6"/>
    <w:rsid w:val="204B5766"/>
    <w:rsid w:val="213A12B8"/>
    <w:rsid w:val="217E49BD"/>
    <w:rsid w:val="29331C49"/>
    <w:rsid w:val="2A60165A"/>
    <w:rsid w:val="2C4B6BEC"/>
    <w:rsid w:val="313B6506"/>
    <w:rsid w:val="36715351"/>
    <w:rsid w:val="3ECE6016"/>
    <w:rsid w:val="41FF6EE8"/>
    <w:rsid w:val="43360241"/>
    <w:rsid w:val="45E63857"/>
    <w:rsid w:val="46D41759"/>
    <w:rsid w:val="4FEA18C7"/>
    <w:rsid w:val="50601C80"/>
    <w:rsid w:val="5D28181B"/>
    <w:rsid w:val="5D7E0B9A"/>
    <w:rsid w:val="5F831C3E"/>
    <w:rsid w:val="5F9676E2"/>
    <w:rsid w:val="635A392B"/>
    <w:rsid w:val="646C7DB0"/>
    <w:rsid w:val="69A477BC"/>
    <w:rsid w:val="7260580F"/>
    <w:rsid w:val="73985307"/>
    <w:rsid w:val="773D50DF"/>
    <w:rsid w:val="7B4368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cs="Times New Roman" w:eastAsiaTheme="minorEastAsia"/>
      <w:lang w:val="en-US" w:eastAsia="zh-CN" w:bidi="ar-SA"/>
    </w:rPr>
  </w:style>
  <w:style w:type="paragraph" w:styleId="3">
    <w:name w:val="heading 1"/>
    <w:next w:val="1"/>
    <w:qFormat/>
    <w:uiPriority w:val="9"/>
    <w:pPr>
      <w:outlineLvl w:val="0"/>
    </w:pPr>
    <w:rPr>
      <w:rFonts w:ascii="Times New Roman" w:hAnsi="Times New Roman" w:cs="Times New Roman" w:eastAsiaTheme="minorEastAsia"/>
      <w:color w:val="2E74B5"/>
      <w:sz w:val="32"/>
      <w:szCs w:val="32"/>
      <w:lang w:val="en-US" w:eastAsia="zh-CN" w:bidi="ar-SA"/>
    </w:rPr>
  </w:style>
  <w:style w:type="paragraph" w:styleId="4">
    <w:name w:val="heading 2"/>
    <w:next w:val="1"/>
    <w:semiHidden/>
    <w:unhideWhenUsed/>
    <w:qFormat/>
    <w:uiPriority w:val="9"/>
    <w:pPr>
      <w:outlineLvl w:val="1"/>
    </w:pPr>
    <w:rPr>
      <w:rFonts w:ascii="Times New Roman" w:hAnsi="Times New Roman" w:cs="Times New Roman" w:eastAsiaTheme="minorEastAsia"/>
      <w:color w:val="2E74B5"/>
      <w:sz w:val="26"/>
      <w:szCs w:val="26"/>
      <w:lang w:val="en-US" w:eastAsia="zh-CN" w:bidi="ar-SA"/>
    </w:rPr>
  </w:style>
  <w:style w:type="paragraph" w:styleId="2">
    <w:name w:val="heading 3"/>
    <w:basedOn w:val="1"/>
    <w:next w:val="1"/>
    <w:semiHidden/>
    <w:unhideWhenUsed/>
    <w:qFormat/>
    <w:uiPriority w:val="9"/>
    <w:pPr>
      <w:outlineLvl w:val="2"/>
    </w:pPr>
    <w:rPr>
      <w:rFonts w:ascii="Times New Roman" w:hAnsi="Times New Roman" w:cs="Times New Roman" w:eastAsiaTheme="minorEastAsia"/>
      <w:color w:val="1F4D78"/>
      <w:sz w:val="24"/>
      <w:szCs w:val="24"/>
      <w:lang w:val="en-US" w:eastAsia="zh-CN" w:bidi="ar-SA"/>
    </w:rPr>
  </w:style>
  <w:style w:type="paragraph" w:styleId="5">
    <w:name w:val="heading 4"/>
    <w:next w:val="1"/>
    <w:semiHidden/>
    <w:unhideWhenUsed/>
    <w:qFormat/>
    <w:uiPriority w:val="9"/>
    <w:pPr>
      <w:outlineLvl w:val="3"/>
    </w:pPr>
    <w:rPr>
      <w:rFonts w:ascii="Times New Roman" w:hAnsi="Times New Roman" w:cs="Times New Roman" w:eastAsiaTheme="minorEastAsia"/>
      <w:i/>
      <w:iCs/>
      <w:color w:val="2E74B5"/>
      <w:lang w:val="en-US" w:eastAsia="zh-CN" w:bidi="ar-SA"/>
    </w:rPr>
  </w:style>
  <w:style w:type="paragraph" w:styleId="6">
    <w:name w:val="heading 5"/>
    <w:next w:val="1"/>
    <w:semiHidden/>
    <w:unhideWhenUsed/>
    <w:qFormat/>
    <w:uiPriority w:val="9"/>
    <w:pPr>
      <w:outlineLvl w:val="4"/>
    </w:pPr>
    <w:rPr>
      <w:rFonts w:ascii="Times New Roman" w:hAnsi="Times New Roman" w:cs="Times New Roman" w:eastAsiaTheme="minorEastAsia"/>
      <w:color w:val="2E74B5"/>
      <w:lang w:val="en-US" w:eastAsia="zh-CN" w:bidi="ar-SA"/>
    </w:rPr>
  </w:style>
  <w:style w:type="paragraph" w:styleId="7">
    <w:name w:val="heading 6"/>
    <w:next w:val="1"/>
    <w:semiHidden/>
    <w:unhideWhenUsed/>
    <w:qFormat/>
    <w:uiPriority w:val="9"/>
    <w:pPr>
      <w:outlineLvl w:val="5"/>
    </w:pPr>
    <w:rPr>
      <w:rFonts w:ascii="Times New Roman" w:hAnsi="Times New Roman" w:cs="Times New Roman" w:eastAsiaTheme="minorEastAsia"/>
      <w:color w:val="1F4D78"/>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endnote text"/>
    <w:link w:val="23"/>
    <w:semiHidden/>
    <w:unhideWhenUsed/>
    <w:qFormat/>
    <w:uiPriority w:val="99"/>
    <w:rPr>
      <w:rFonts w:ascii="Times New Roman" w:hAnsi="Times New Roman" w:cs="Times New Roman" w:eastAsiaTheme="minorEastAsia"/>
      <w:lang w:val="en-US" w:eastAsia="zh-CN" w:bidi="ar-SA"/>
    </w:rPr>
  </w:style>
  <w:style w:type="paragraph" w:styleId="10">
    <w:name w:val="footer"/>
    <w:basedOn w:val="1"/>
    <w:link w:val="25"/>
    <w:unhideWhenUsed/>
    <w:qFormat/>
    <w:uiPriority w:val="99"/>
    <w:pPr>
      <w:tabs>
        <w:tab w:val="center" w:pos="4153"/>
        <w:tab w:val="right" w:pos="8306"/>
      </w:tabs>
      <w:snapToGrid w:val="0"/>
    </w:pPr>
    <w:rPr>
      <w:sz w:val="18"/>
      <w:szCs w:val="18"/>
    </w:rPr>
  </w:style>
  <w:style w:type="paragraph" w:styleId="11">
    <w:name w:val="header"/>
    <w:basedOn w:val="1"/>
    <w:next w:val="10"/>
    <w:link w:val="24"/>
    <w:unhideWhenUsed/>
    <w:qFormat/>
    <w:uiPriority w:val="99"/>
    <w:pPr>
      <w:tabs>
        <w:tab w:val="center" w:pos="4153"/>
        <w:tab w:val="right" w:pos="8306"/>
      </w:tabs>
      <w:snapToGrid w:val="0"/>
      <w:jc w:val="center"/>
    </w:pPr>
    <w:rPr>
      <w:sz w:val="18"/>
      <w:szCs w:val="18"/>
    </w:rPr>
  </w:style>
  <w:style w:type="paragraph" w:styleId="12">
    <w:name w:val="footnote text"/>
    <w:link w:val="22"/>
    <w:semiHidden/>
    <w:unhideWhenUsed/>
    <w:qFormat/>
    <w:uiPriority w:val="99"/>
    <w:rPr>
      <w:rFonts w:ascii="Times New Roman" w:hAnsi="Times New Roman" w:cs="Times New Roman" w:eastAsiaTheme="minorEastAsia"/>
      <w:lang w:val="en-US" w:eastAsia="zh-CN" w:bidi="ar-SA"/>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Title"/>
    <w:qFormat/>
    <w:uiPriority w:val="10"/>
    <w:rPr>
      <w:rFonts w:ascii="Times New Roman" w:hAnsi="Times New Roman" w:cs="Times New Roman" w:eastAsiaTheme="minorEastAsia"/>
      <w:sz w:val="56"/>
      <w:szCs w:val="56"/>
      <w:lang w:val="en-US" w:eastAsia="zh-CN" w:bidi="ar-SA"/>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customStyle="1" w:styleId="20">
    <w:name w:val="要点1"/>
    <w:qFormat/>
    <w:uiPriority w:val="0"/>
    <w:rPr>
      <w:rFonts w:ascii="Times New Roman" w:hAnsi="Times New Roman" w:cs="Times New Roman" w:eastAsiaTheme="minorEastAsia"/>
      <w:b/>
      <w:bCs/>
      <w:lang w:val="en-US" w:eastAsia="zh-CN" w:bidi="ar-SA"/>
    </w:rPr>
  </w:style>
  <w:style w:type="paragraph" w:styleId="21">
    <w:name w:val="List Paragraph"/>
    <w:qFormat/>
    <w:uiPriority w:val="0"/>
    <w:rPr>
      <w:rFonts w:ascii="Times New Roman" w:hAnsi="Times New Roman" w:cs="Times New Roman" w:eastAsiaTheme="minorEastAsia"/>
      <w:lang w:val="en-US" w:eastAsia="zh-CN" w:bidi="ar-SA"/>
    </w:rPr>
  </w:style>
  <w:style w:type="character" w:customStyle="1" w:styleId="22">
    <w:name w:val="脚注文本 字符"/>
    <w:link w:val="12"/>
    <w:semiHidden/>
    <w:unhideWhenUsed/>
    <w:uiPriority w:val="99"/>
    <w:rPr>
      <w:sz w:val="20"/>
      <w:szCs w:val="20"/>
    </w:rPr>
  </w:style>
  <w:style w:type="character" w:customStyle="1" w:styleId="23">
    <w:name w:val="尾注文本 字符"/>
    <w:link w:val="9"/>
    <w:semiHidden/>
    <w:unhideWhenUsed/>
    <w:uiPriority w:val="99"/>
    <w:rPr>
      <w:sz w:val="20"/>
      <w:szCs w:val="20"/>
    </w:rPr>
  </w:style>
  <w:style w:type="character" w:customStyle="1" w:styleId="24">
    <w:name w:val="页眉 字符"/>
    <w:basedOn w:val="16"/>
    <w:link w:val="11"/>
    <w:qFormat/>
    <w:uiPriority w:val="99"/>
    <w:rPr>
      <w:sz w:val="18"/>
      <w:szCs w:val="18"/>
    </w:rPr>
  </w:style>
  <w:style w:type="character" w:customStyle="1" w:styleId="25">
    <w:name w:val="页脚 字符"/>
    <w:basedOn w:val="16"/>
    <w:link w:val="10"/>
    <w:qFormat/>
    <w:uiPriority w:val="99"/>
    <w:rPr>
      <w:sz w:val="18"/>
      <w:szCs w:val="18"/>
    </w:rPr>
  </w:style>
  <w:style w:type="paragraph" w:customStyle="1" w:styleId="26">
    <w:name w:val="（一）正文"/>
    <w:qFormat/>
    <w:uiPriority w:val="0"/>
    <w:pPr>
      <w:spacing w:line="360" w:lineRule="auto"/>
      <w:ind w:firstLine="200" w:firstLineChars="200"/>
      <w:jc w:val="both"/>
    </w:pPr>
    <w:rPr>
      <w:rFonts w:ascii="Times New Roman" w:hAnsi="Times New Roman" w:eastAsia="宋体" w:cs="Times New Roman"/>
      <w:color w:val="000000"/>
      <w:kern w:val="2"/>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6885</Words>
  <Characters>7124</Characters>
  <Lines>115</Lines>
  <Paragraphs>95</Paragraphs>
  <TotalTime>3</TotalTime>
  <ScaleCrop>false</ScaleCrop>
  <LinksUpToDate>false</LinksUpToDate>
  <CharactersWithSpaces>7125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2026-10-13T02:52:00Z</dcterms:created>
  <dc:creator>Un-named</dc:creator>
  <cp:lastModifiedBy>M</cp:lastModifiedBy>
  <dcterms:modified xsi:type="dcterms:W3CDTF">2026-10-29T08:53:24Z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eyJoZGlkIjoiNTBmMTIzZmNiNjE2ZmNkNTIwYzVlZTQ0ZmRkNTdjYzYiLCJ1c2VySWQiOiI0MjU2NDUzNDUifQ==</vt:lpwstr>
  </property>
  <property fmtid="{D5CDD505-2E9C-101B-9397-08002B2CF9AE}" pid="3" name="KSOProductBuildVer">
    <vt:lpwstr>2052-12.1.0.28505</vt:lpwstr>
  </property>
  <property fmtid="{D5CDD505-2E9C-101B-9397-08002B2CF9AE}" pid="4" name="ICV">
    <vt:lpwstr>4D9EEACB169F463AA8B402EF20EC6A6F_12</vt:lpwstr>
  </property>
</Properties>
</file>