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28E2EA">
      <w:pPr>
        <w:spacing w:after="0" w:line="520" w:lineRule="exact"/>
        <w:jc w:val="center"/>
        <w:rPr>
          <w:rStyle w:val="12"/>
          <w:rFonts w:ascii="Times New Roman" w:hAnsi="Times New Roman" w:eastAsia="黑体"/>
          <w:b/>
          <w:sz w:val="32"/>
          <w:szCs w:val="32"/>
        </w:rPr>
      </w:pPr>
      <w:bookmarkStart w:id="37" w:name="_GoBack"/>
      <w:bookmarkEnd w:id="37"/>
      <w:r>
        <w:rPr>
          <w:rFonts w:ascii="Times New Roman" w:hAnsi="Times New Roman" w:eastAsia="黑体"/>
          <w:b/>
          <w:sz w:val="32"/>
          <w:szCs w:val="32"/>
        </w:rPr>
        <w:t>昆明市生态环境行政处罚裁量权基准补充表</w:t>
      </w:r>
      <w:r>
        <w:rPr>
          <w:rFonts w:hint="eastAsia" w:ascii="Times New Roman" w:hAnsi="Times New Roman" w:eastAsia="黑体"/>
          <w:b/>
          <w:sz w:val="32"/>
          <w:szCs w:val="32"/>
          <w:lang w:eastAsia="zh-CN"/>
        </w:rPr>
        <w:t>（</w:t>
      </w:r>
      <w:r>
        <w:rPr>
          <w:rStyle w:val="12"/>
          <w:rFonts w:ascii="Times New Roman" w:hAnsi="Times New Roman" w:eastAsia="黑体"/>
          <w:b/>
          <w:sz w:val="32"/>
          <w:szCs w:val="32"/>
        </w:rPr>
        <w:t>2026年版）</w:t>
      </w:r>
    </w:p>
    <w:p w14:paraId="0456D283">
      <w:pPr>
        <w:spacing w:after="0" w:line="520" w:lineRule="exact"/>
        <w:jc w:val="center"/>
        <w:rPr>
          <w:rFonts w:hint="eastAsia" w:ascii="Times New Roman" w:hAnsi="Times New Roman" w:eastAsia="黑体"/>
          <w:b/>
          <w:sz w:val="32"/>
          <w:szCs w:val="32"/>
          <w:lang w:eastAsia="zh-CN"/>
        </w:rPr>
      </w:pPr>
      <w:r>
        <w:rPr>
          <w:rStyle w:val="12"/>
          <w:rFonts w:hint="eastAsia" w:ascii="Times New Roman" w:hAnsi="Times New Roman" w:eastAsia="黑体"/>
          <w:b/>
          <w:sz w:val="32"/>
          <w:szCs w:val="32"/>
          <w:lang w:eastAsia="zh-CN"/>
        </w:rPr>
        <w:t>（公开征求意见稿）</w:t>
      </w:r>
    </w:p>
    <w:p w14:paraId="374C2B82">
      <w:pPr>
        <w:spacing w:after="0" w:line="560" w:lineRule="exact"/>
        <w:jc w:val="both"/>
        <w:rPr>
          <w:rFonts w:hint="eastAsia"/>
        </w:rPr>
      </w:pPr>
    </w:p>
    <w:p w14:paraId="2F7A7B7C">
      <w:pPr>
        <w:spacing w:after="120" w:afterLines="50" w:line="480" w:lineRule="exact"/>
        <w:rPr>
          <w:rFonts w:hint="eastAsia"/>
        </w:rPr>
      </w:pPr>
      <w:r>
        <w:rPr>
          <w:rFonts w:ascii="Times New Roman" w:hAnsi="Times New Roman" w:eastAsia="黑体"/>
          <w:sz w:val="28"/>
          <w:szCs w:val="28"/>
        </w:rPr>
        <w:t>一、违法行为个性裁量基准</w:t>
      </w:r>
    </w:p>
    <w:p w14:paraId="7559B3A6">
      <w:pPr>
        <w:spacing w:after="120" w:afterLines="50" w:line="480" w:lineRule="exact"/>
        <w:rPr>
          <w:rFonts w:ascii="Times New Roman" w:hAnsi="Times New Roman" w:eastAsia="黑体"/>
          <w:sz w:val="28"/>
          <w:szCs w:val="28"/>
        </w:rPr>
      </w:pPr>
      <w:bookmarkStart w:id="0" w:name="_Toc5392"/>
      <w:bookmarkStart w:id="1" w:name="_Toc11398"/>
      <w:bookmarkStart w:id="2" w:name="_Toc25188"/>
      <w:bookmarkStart w:id="3" w:name="_Toc31525"/>
      <w:bookmarkStart w:id="4" w:name="_Toc8692"/>
      <w:bookmarkStart w:id="5" w:name="_Toc771"/>
      <w:bookmarkStart w:id="6" w:name="_Toc21459"/>
      <w:r>
        <w:rPr>
          <w:rFonts w:hint="eastAsia" w:ascii="Times New Roman" w:hAnsi="Times New Roman" w:eastAsia="黑体"/>
          <w:sz w:val="28"/>
          <w:szCs w:val="28"/>
        </w:rPr>
        <w:t>（一）</w:t>
      </w:r>
      <w:bookmarkEnd w:id="0"/>
      <w:bookmarkEnd w:id="1"/>
      <w:bookmarkEnd w:id="2"/>
      <w:bookmarkEnd w:id="3"/>
      <w:bookmarkStart w:id="7" w:name="_Toc30984"/>
      <w:r>
        <w:rPr>
          <w:rFonts w:ascii="Times New Roman" w:hAnsi="Times New Roman" w:eastAsia="黑体"/>
          <w:sz w:val="28"/>
          <w:szCs w:val="28"/>
        </w:rPr>
        <w:t>违反生态环境监测管理规定的行为</w:t>
      </w:r>
    </w:p>
    <w:p w14:paraId="522B059C">
      <w:pPr>
        <w:spacing w:before="40" w:after="40" w:line="400" w:lineRule="auto"/>
        <w:jc w:val="both"/>
        <w:rPr>
          <w:rFonts w:ascii="Times New Roman" w:hAnsi="Times New Roman" w:eastAsia="黑体"/>
          <w:b/>
          <w:sz w:val="24"/>
        </w:rPr>
      </w:pPr>
      <w:r>
        <w:rPr>
          <w:rFonts w:ascii="Times New Roman" w:hAnsi="Times New Roman" w:eastAsia="黑体"/>
          <w:b/>
          <w:sz w:val="24"/>
        </w:rPr>
        <w:t>1.未安装、使用、维护、正常运行污染物排放自动监测、监控设备，未与主管部门的监控设备联网，未保存原始监测记录，以及未如实报告的行为</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71"/>
        <w:gridCol w:w="6870"/>
        <w:gridCol w:w="1099"/>
      </w:tblGrid>
      <w:tr w14:paraId="0D380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noWrap w:val="0"/>
            <w:tcMar>
              <w:top w:w="0" w:type="dxa"/>
              <w:left w:w="57" w:type="dxa"/>
              <w:bottom w:w="0" w:type="dxa"/>
              <w:right w:w="57" w:type="dxa"/>
            </w:tcMar>
            <w:vAlign w:val="center"/>
          </w:tcPr>
          <w:p w14:paraId="048ADF86">
            <w:pPr>
              <w:spacing w:before="20" w:after="20" w:line="300" w:lineRule="auto"/>
              <w:jc w:val="center"/>
              <w:rPr>
                <w:rFonts w:ascii="Times New Roman" w:hAnsi="Times New Roman" w:eastAsia="宋体"/>
                <w:b/>
                <w:sz w:val="21"/>
              </w:rPr>
            </w:pPr>
            <w:r>
              <w:rPr>
                <w:rFonts w:ascii="Times New Roman" w:hAnsi="Times New Roman" w:eastAsia="宋体"/>
                <w:b/>
                <w:sz w:val="21"/>
              </w:rPr>
              <w:t>违反条款</w:t>
            </w:r>
          </w:p>
        </w:tc>
        <w:tc>
          <w:tcPr>
            <w:tcW w:w="4359" w:type="pct"/>
            <w:gridSpan w:val="2"/>
            <w:noWrap w:val="0"/>
            <w:tcMar>
              <w:top w:w="0" w:type="dxa"/>
              <w:left w:w="57" w:type="dxa"/>
              <w:bottom w:w="0" w:type="dxa"/>
              <w:right w:w="57" w:type="dxa"/>
            </w:tcMar>
            <w:vAlign w:val="center"/>
          </w:tcPr>
          <w:p w14:paraId="6DD83A8E">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napToGrid w:val="0"/>
                <w:sz w:val="21"/>
                <w:szCs w:val="21"/>
              </w:rPr>
              <w:t>1.</w:t>
            </w:r>
            <w:r>
              <w:rPr>
                <w:rFonts w:hint="eastAsia" w:cs="Times New Roman"/>
                <w:sz w:val="21"/>
                <w:szCs w:val="21"/>
              </w:rPr>
              <w:t>《中华人民共和国生态环境法典》第一百八十四条 实行排污许可重点管理的企业事业单位和其他生产经营者，应当按照国家规定安装、使用、维护污染物排放自动监测设备，开展监控、自动监测，并与生态环境主管部门的监控设备联网，保证自动监测设备正常运行，保存原始监测记录。监测的具体办法由国务院生态环境主管部门制定。</w:t>
            </w:r>
          </w:p>
          <w:p w14:paraId="0572D85F">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实行排污许可重点管理的企业事业单位和其他生产经营者发现污染物排放自动监测设备传输数据异常，应当及时报告生态环境主管部门，并进行检查、修复。生态环境主管部门发现实行排污许可重点管理的企业事业单位和其他生产经营者的污染物排放自动监测设备传输数据异常，应当及时进行调查。</w:t>
            </w:r>
          </w:p>
          <w:p w14:paraId="7F34CA7B">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第二百九十八条第二款　工业园区等区域应当配套建设相应的污水集中处理设施，按照规定安装自动监测设备，与生态环境主管部门的监控设备联网，并保证监测设备正常运行。</w:t>
            </w:r>
          </w:p>
          <w:p w14:paraId="3420CBF0">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2.</w:t>
            </w:r>
            <w:r>
              <w:rPr>
                <w:rFonts w:cs="Times New Roman"/>
                <w:sz w:val="21"/>
                <w:szCs w:val="21"/>
              </w:rPr>
              <w:t>《生态环境监测条例》（2026修订版）第二十一条</w:t>
            </w:r>
            <w:r>
              <w:rPr>
                <w:rFonts w:hint="eastAsia" w:cs="Times New Roman"/>
                <w:sz w:val="21"/>
                <w:szCs w:val="21"/>
              </w:rPr>
              <w:t>第二款 自行监测的主要监测点位应当按照规定安装、使用可以获取监测活动过程和监测设备运行情况的视频监控设备，并与生态环境主管部门或者其他有关部门联网。</w:t>
            </w:r>
          </w:p>
          <w:p w14:paraId="04DA6C04">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第二十三条　依照法律、法规规定应当安装、使用自动监测设备的企事业单位，其自动监测设备应当与生态环境主管部门联网</w:t>
            </w:r>
            <w:r>
              <w:rPr>
                <w:rFonts w:hint="eastAsia" w:cs="Times New Roman"/>
                <w:sz w:val="21"/>
                <w:szCs w:val="21"/>
              </w:rPr>
              <w:t>。</w:t>
            </w:r>
          </w:p>
          <w:p w14:paraId="7A8A2BC6">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企事业单位发现自动监测设备传输数据异常的，应当及时报告生态环境主管部门，并对自动监测设备进行检查、修复。</w:t>
            </w:r>
          </w:p>
          <w:p w14:paraId="28D386A8">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3《排污许可管理条例》</w:t>
            </w:r>
            <w:r>
              <w:rPr>
                <w:rFonts w:cs="Times New Roman"/>
                <w:sz w:val="21"/>
                <w:szCs w:val="21"/>
              </w:rPr>
              <w:t>第二十条 实行排污许可重点管理的排污单位，应当依法安装、使用、维护污染物排放自动监测设备，并与生态环境主管部门的监控设备联网。</w:t>
            </w:r>
          </w:p>
          <w:p w14:paraId="2D612163">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排污单位发现污染物排放自动监测设备传输数据异常的，应当及时报告生态环境主管部门，并进行检查、修复。</w:t>
            </w:r>
          </w:p>
          <w:p w14:paraId="2CDA08E6">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4</w:t>
            </w:r>
            <w:r>
              <w:rPr>
                <w:rFonts w:cs="Times New Roman"/>
                <w:sz w:val="21"/>
                <w:szCs w:val="21"/>
              </w:rPr>
              <w:t>.</w:t>
            </w:r>
            <w:r>
              <w:rPr>
                <w:rFonts w:hint="eastAsia" w:cs="Times New Roman"/>
                <w:sz w:val="21"/>
                <w:szCs w:val="21"/>
              </w:rPr>
              <w:t>《消耗臭氧层物质管理条例》</w:t>
            </w:r>
            <w:r>
              <w:rPr>
                <w:rFonts w:cs="Times New Roman"/>
                <w:sz w:val="21"/>
                <w:szCs w:val="21"/>
              </w:rPr>
              <w:t>（2026修订版）</w:t>
            </w:r>
            <w:r>
              <w:rPr>
                <w:rFonts w:hint="eastAsia" w:cs="Times New Roman"/>
                <w:sz w:val="21"/>
                <w:szCs w:val="21"/>
              </w:rPr>
              <w:t>第二十条第二款 生产、使用消耗臭氧层物质数量较大，以及生产过程中附带产生消耗臭氧层物质数量较大的单位，应当安装自动监测设备，与生态环境主管部门的监控设备联网，并保证监测设备正常运行，确保监测数据的真实性和准确性。具体办法由国务院生态环境主管部门规定。</w:t>
            </w:r>
          </w:p>
          <w:p w14:paraId="1404A14C">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5.</w:t>
            </w:r>
            <w:r>
              <w:rPr>
                <w:rFonts w:cs="Times New Roman"/>
                <w:sz w:val="21"/>
                <w:szCs w:val="21"/>
              </w:rPr>
              <w:t>《云南省大气污染防治条例》（2026修订版）第十四条第三款</w:t>
            </w:r>
            <w:r>
              <w:rPr>
                <w:rFonts w:hint="eastAsia" w:cs="Times New Roman"/>
                <w:sz w:val="21"/>
                <w:szCs w:val="21"/>
              </w:rPr>
              <w:t xml:space="preserve"> </w:t>
            </w:r>
            <w:r>
              <w:rPr>
                <w:rFonts w:cs="Times New Roman"/>
                <w:sz w:val="21"/>
                <w:szCs w:val="21"/>
              </w:rPr>
              <w:t>实行排污许可重点管理的企业事业单位和其他生产经营者，应当按照国家规定安装、使用、维护污染物排放自动监测设备，开展监控、自动监测，并与生态环境主管部门的监控设备联网，保证自动监测设备正常运行，保存原始监测记录；应当依法及时、真实、准确、完整披露污染物排放信息、温室气体排放信息等生态环境信息。</w:t>
            </w:r>
          </w:p>
          <w:p w14:paraId="7913E9D1">
            <w:pPr>
              <w:pStyle w:val="20"/>
              <w:autoSpaceDE w:val="0"/>
              <w:autoSpaceDN w:val="0"/>
              <w:adjustRightInd w:val="0"/>
              <w:snapToGrid w:val="0"/>
              <w:spacing w:before="20" w:after="20" w:line="300" w:lineRule="auto"/>
              <w:ind w:right="110"/>
              <w:textAlignment w:val="baseline"/>
              <w:rPr>
                <w:rFonts w:hint="eastAsia" w:cs="Times New Roman"/>
                <w:b/>
                <w:bCs/>
                <w:color w:val="auto"/>
                <w:sz w:val="21"/>
                <w:szCs w:val="21"/>
              </w:rPr>
            </w:pPr>
            <w:r>
              <w:rPr>
                <w:rFonts w:hint="eastAsia" w:cs="Times New Roman"/>
                <w:b/>
                <w:bCs/>
                <w:color w:val="auto"/>
                <w:sz w:val="21"/>
                <w:szCs w:val="21"/>
              </w:rPr>
              <w:t>6.</w:t>
            </w:r>
            <w:r>
              <w:rPr>
                <w:rFonts w:cs="Times New Roman"/>
                <w:b/>
                <w:bCs/>
                <w:color w:val="auto"/>
                <w:sz w:val="21"/>
                <w:szCs w:val="21"/>
              </w:rPr>
              <w:t>《昆明市大气污染防治条例》</w:t>
            </w:r>
            <w:r>
              <w:rPr>
                <w:rFonts w:hint="eastAsia" w:cs="Times New Roman"/>
                <w:b/>
                <w:bCs/>
                <w:color w:val="auto"/>
                <w:sz w:val="21"/>
                <w:szCs w:val="21"/>
              </w:rPr>
              <w:t>（2026修订版）</w:t>
            </w:r>
            <w:r>
              <w:rPr>
                <w:rFonts w:cs="Times New Roman"/>
                <w:b/>
                <w:bCs/>
                <w:color w:val="auto"/>
                <w:sz w:val="21"/>
                <w:szCs w:val="21"/>
              </w:rPr>
              <w:t>第十七条</w:t>
            </w:r>
            <w:r>
              <w:rPr>
                <w:rFonts w:hint="eastAsia" w:cs="Times New Roman"/>
                <w:b/>
                <w:bCs/>
                <w:color w:val="auto"/>
                <w:sz w:val="21"/>
                <w:szCs w:val="21"/>
              </w:rPr>
              <w:t xml:space="preserve"> 实行排污许可重点管理的企业事业单位和其他生产经营者应当按照规定安装、使用、维护大气污染物排放自动监测设备，开展监控、自动监测，并与生态环境主管部门的监控平台（设备）联网，保证自动监测设备正常运行，保存原始监测记录，并依法公开排放信息。</w:t>
            </w:r>
          </w:p>
          <w:p w14:paraId="74828272">
            <w:pPr>
              <w:pStyle w:val="20"/>
              <w:autoSpaceDE w:val="0"/>
              <w:autoSpaceDN w:val="0"/>
              <w:adjustRightInd w:val="0"/>
              <w:snapToGrid w:val="0"/>
              <w:spacing w:before="20" w:after="20" w:line="300" w:lineRule="auto"/>
              <w:ind w:right="110"/>
              <w:textAlignment w:val="baseline"/>
              <w:rPr>
                <w:rFonts w:hint="eastAsia" w:cs="Times New Roman"/>
                <w:b/>
                <w:bCs/>
                <w:color w:val="auto"/>
                <w:sz w:val="21"/>
                <w:szCs w:val="21"/>
              </w:rPr>
            </w:pPr>
            <w:r>
              <w:rPr>
                <w:rFonts w:hint="eastAsia" w:cs="Times New Roman"/>
                <w:b/>
                <w:bCs/>
                <w:color w:val="auto"/>
                <w:sz w:val="21"/>
                <w:szCs w:val="21"/>
              </w:rPr>
              <w:t>自动监测设备不能正常运行的，排污单位应当在12小时内向属地生态环境主管部门报告，并在5个工作日内恢复正常运行。自动监测设备停运期间，应当采取人工监测等方式对大气污染物进行监测，并及时向属地生态环境主管部门报送监测数据。</w:t>
            </w:r>
          </w:p>
          <w:p w14:paraId="4608FE49">
            <w:pPr>
              <w:pStyle w:val="20"/>
              <w:autoSpaceDE w:val="0"/>
              <w:autoSpaceDN w:val="0"/>
              <w:adjustRightInd w:val="0"/>
              <w:snapToGrid w:val="0"/>
              <w:spacing w:before="20" w:after="20" w:line="300" w:lineRule="auto"/>
              <w:ind w:left="0" w:right="0" w:rightChars="0" w:firstLine="0"/>
              <w:textAlignment w:val="baseline"/>
              <w:rPr>
                <w:rFonts w:hint="eastAsia" w:cs="Times New Roman"/>
                <w:b/>
                <w:bCs/>
                <w:sz w:val="21"/>
                <w:szCs w:val="21"/>
              </w:rPr>
            </w:pPr>
            <w:r>
              <w:rPr>
                <w:rFonts w:hint="eastAsia" w:cs="Times New Roman"/>
                <w:b/>
                <w:bCs/>
                <w:color w:val="auto"/>
                <w:sz w:val="21"/>
                <w:szCs w:val="21"/>
              </w:rPr>
              <w:t>实行排污许可管理的企业事业单位和其他生产经营者应当按照排污许可证的要求和有关标准规范，依法开展自行监测，并对监测数据的真实性、准确性负责，建立管理台账，并保存原始监测记录和管理台账。原始监测记录和管理台账保存期限不得少于5年。</w:t>
            </w:r>
          </w:p>
        </w:tc>
      </w:tr>
      <w:tr w14:paraId="0EA1C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noWrap w:val="0"/>
            <w:tcMar>
              <w:top w:w="0" w:type="dxa"/>
              <w:left w:w="57" w:type="dxa"/>
              <w:bottom w:w="0" w:type="dxa"/>
              <w:right w:w="57" w:type="dxa"/>
            </w:tcMar>
            <w:vAlign w:val="center"/>
          </w:tcPr>
          <w:p w14:paraId="0069CEE6">
            <w:pPr>
              <w:spacing w:before="20" w:after="20" w:line="300" w:lineRule="auto"/>
              <w:jc w:val="center"/>
              <w:rPr>
                <w:rFonts w:ascii="Times New Roman" w:hAnsi="Times New Roman" w:eastAsia="宋体"/>
                <w:b/>
                <w:sz w:val="21"/>
              </w:rPr>
            </w:pPr>
            <w:r>
              <w:rPr>
                <w:rFonts w:ascii="Times New Roman" w:hAnsi="Times New Roman" w:eastAsia="宋体"/>
                <w:b/>
                <w:sz w:val="21"/>
              </w:rPr>
              <w:t>处罚依据</w:t>
            </w:r>
          </w:p>
        </w:tc>
        <w:tc>
          <w:tcPr>
            <w:tcW w:w="4359" w:type="pct"/>
            <w:gridSpan w:val="2"/>
            <w:noWrap w:val="0"/>
            <w:tcMar>
              <w:top w:w="0" w:type="dxa"/>
              <w:left w:w="57" w:type="dxa"/>
              <w:bottom w:w="0" w:type="dxa"/>
              <w:right w:w="57" w:type="dxa"/>
            </w:tcMar>
            <w:vAlign w:val="center"/>
          </w:tcPr>
          <w:p w14:paraId="7FEE210C">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1.</w:t>
            </w:r>
            <w:r>
              <w:rPr>
                <w:rFonts w:hint="eastAsia" w:cs="Times New Roman"/>
                <w:sz w:val="21"/>
                <w:szCs w:val="21"/>
              </w:rPr>
              <w:t>《中华人民共和国生态环境法典》第一千零八十六条第一款第二项 违反本法规定，有下列情形之一的，由负有生态环境保护监督管理职责的部门、机构按照职责分工责令改正，处二万元以上二十万元以下的罚款；拒不改正的，可以责令限制生产、停产整治：</w:t>
            </w:r>
          </w:p>
          <w:p w14:paraId="5AED0D63">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（二）未安装、使用、维护、正常运行污染物排放自动监测、监控设备，未与主管部门的监控设备联网，未保存原始监测记录，以及未如实报告。</w:t>
            </w:r>
          </w:p>
          <w:p w14:paraId="015DC8AB">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napToGrid w:val="0"/>
                <w:sz w:val="21"/>
                <w:szCs w:val="21"/>
              </w:rPr>
              <w:t>2.</w:t>
            </w:r>
            <w:r>
              <w:rPr>
                <w:rFonts w:cs="Times New Roman"/>
                <w:sz w:val="21"/>
                <w:szCs w:val="21"/>
              </w:rPr>
              <w:t>《生态环境监测条例》（2026修订版）第四十二条</w:t>
            </w:r>
            <w:r>
              <w:rPr>
                <w:rFonts w:hint="eastAsia" w:cs="Times New Roman"/>
                <w:sz w:val="21"/>
                <w:szCs w:val="21"/>
              </w:rPr>
              <w:t xml:space="preserve">第三项、第四项、第五项 </w:t>
            </w:r>
            <w:r>
              <w:rPr>
                <w:rFonts w:cs="Times New Roman"/>
                <w:sz w:val="21"/>
                <w:szCs w:val="21"/>
              </w:rPr>
              <w:t>企事业单位在开展自行监测中有下列情形之一的，由生态环境主管部门或者其他有关部门依据职责责令改正，处2万元以上20万元以下的罚款；拒不改正的，可以责令限制生产、停产整治：</w:t>
            </w:r>
          </w:p>
          <w:p w14:paraId="53CAB417">
            <w:pPr>
              <w:pStyle w:val="20"/>
              <w:autoSpaceDE w:val="0"/>
              <w:autoSpaceDN w:val="0"/>
              <w:adjustRightInd w:val="0"/>
              <w:snapToGrid w:val="0"/>
              <w:spacing w:before="20" w:after="20" w:line="300" w:lineRule="auto"/>
              <w:ind w:right="110"/>
              <w:textAlignment w:val="baseline"/>
              <w:rPr>
                <w:rFonts w:hint="eastAsia" w:cs="Times New Roman"/>
                <w:sz w:val="21"/>
                <w:szCs w:val="21"/>
              </w:rPr>
            </w:pPr>
            <w:r>
              <w:rPr>
                <w:rFonts w:hint="eastAsia" w:cs="Times New Roman"/>
                <w:sz w:val="21"/>
                <w:szCs w:val="21"/>
              </w:rPr>
              <w:t>（三）未按照规定在主要监测点位安装、使用视频监控设备；</w:t>
            </w:r>
          </w:p>
          <w:p w14:paraId="7D1F30E8">
            <w:pPr>
              <w:pStyle w:val="20"/>
              <w:autoSpaceDE w:val="0"/>
              <w:autoSpaceDN w:val="0"/>
              <w:adjustRightInd w:val="0"/>
              <w:snapToGrid w:val="0"/>
              <w:spacing w:before="20" w:after="20" w:line="300" w:lineRule="auto"/>
              <w:ind w:right="110"/>
              <w:textAlignment w:val="baseline"/>
              <w:rPr>
                <w:rFonts w:hint="eastAsia" w:cs="Times New Roman"/>
                <w:sz w:val="21"/>
                <w:szCs w:val="21"/>
              </w:rPr>
            </w:pPr>
            <w:r>
              <w:rPr>
                <w:rFonts w:hint="eastAsia" w:cs="Times New Roman"/>
                <w:sz w:val="21"/>
                <w:szCs w:val="21"/>
              </w:rPr>
              <w:t>（四）未按照规定安装、使用自动监测设备，或者发现自动监测设备传输数据异常未及时报告并对自动监测设备进行检查、修复；</w:t>
            </w:r>
          </w:p>
          <w:p w14:paraId="3D7B46E9">
            <w:pPr>
              <w:pStyle w:val="20"/>
              <w:spacing w:before="20" w:after="20" w:line="300" w:lineRule="auto"/>
              <w:ind w:left="0" w:right="110" w:firstLine="0"/>
              <w:rPr>
                <w:rFonts w:hint="eastAsia" w:cs="Times New Roman"/>
                <w:sz w:val="21"/>
                <w:szCs w:val="21"/>
              </w:rPr>
            </w:pPr>
            <w:r>
              <w:rPr>
                <w:rFonts w:hint="eastAsia" w:cs="Times New Roman"/>
                <w:sz w:val="21"/>
                <w:szCs w:val="21"/>
              </w:rPr>
              <w:t>（五）主要监测点位视频监控设备或者自动监测设备未与生态环境主管部门或者其他有关部门联网；</w:t>
            </w:r>
          </w:p>
          <w:p w14:paraId="289FE482">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3</w:t>
            </w:r>
            <w:r>
              <w:rPr>
                <w:rFonts w:cs="Times New Roman"/>
                <w:sz w:val="21"/>
                <w:szCs w:val="21"/>
              </w:rPr>
              <w:t>.</w:t>
            </w:r>
            <w:r>
              <w:rPr>
                <w:rFonts w:hint="eastAsia" w:cs="Times New Roman"/>
                <w:sz w:val="21"/>
                <w:szCs w:val="21"/>
              </w:rPr>
              <w:t>《排污许可管理条例》</w:t>
            </w:r>
            <w:r>
              <w:rPr>
                <w:rFonts w:cs="Times New Roman"/>
                <w:sz w:val="21"/>
                <w:szCs w:val="21"/>
              </w:rPr>
              <w:t>第三十六条</w:t>
            </w:r>
            <w:r>
              <w:rPr>
                <w:rFonts w:hint="eastAsia" w:cs="Times New Roman"/>
                <w:sz w:val="21"/>
                <w:szCs w:val="21"/>
              </w:rPr>
              <w:t>第四项</w:t>
            </w:r>
            <w:r>
              <w:rPr>
                <w:rFonts w:cs="Times New Roman"/>
                <w:sz w:val="21"/>
                <w:szCs w:val="21"/>
              </w:rPr>
              <w:t xml:space="preserve"> 违反本条例规定，排污单位有下列行为之一的，由生态环境主管部门责令改正，处2万元以上20万元以下的罚款；拒不改正的，责令停产整治：</w:t>
            </w:r>
          </w:p>
          <w:p w14:paraId="6980B109">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（四）未按照排污许可证规定安装、使用污染物排放自动监测设备并与生态环境主管部门的监控设备联网，或者未保证污染物排放自动监测设备正常运行</w:t>
            </w:r>
            <w:r>
              <w:rPr>
                <w:rFonts w:hint="eastAsia" w:cs="Times New Roman"/>
                <w:sz w:val="21"/>
                <w:szCs w:val="21"/>
              </w:rPr>
              <w:t>；</w:t>
            </w:r>
          </w:p>
          <w:p w14:paraId="5326A14B">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（八）发现污染物排放自动监测设备传输数据异常或者污染物排放超过污染物排放标准等异常情况不报告</w:t>
            </w:r>
            <w:r>
              <w:rPr>
                <w:rFonts w:cs="Times New Roman"/>
                <w:sz w:val="21"/>
                <w:szCs w:val="21"/>
              </w:rPr>
              <w:t>。</w:t>
            </w:r>
          </w:p>
          <w:p w14:paraId="055092D3">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4</w:t>
            </w:r>
            <w:r>
              <w:rPr>
                <w:rFonts w:cs="Times New Roman"/>
                <w:sz w:val="21"/>
                <w:szCs w:val="21"/>
              </w:rPr>
              <w:t>.</w:t>
            </w:r>
            <w:r>
              <w:rPr>
                <w:rFonts w:hint="eastAsia" w:cs="Times New Roman"/>
                <w:sz w:val="21"/>
                <w:szCs w:val="21"/>
              </w:rPr>
              <w:t>《消耗臭氧层物质管理条例》</w:t>
            </w:r>
            <w:r>
              <w:rPr>
                <w:rFonts w:cs="Times New Roman"/>
                <w:sz w:val="21"/>
                <w:szCs w:val="21"/>
              </w:rPr>
              <w:t>（2026修订版）</w:t>
            </w:r>
            <w:r>
              <w:rPr>
                <w:rFonts w:hint="eastAsia" w:cs="Times New Roman"/>
                <w:sz w:val="21"/>
                <w:szCs w:val="21"/>
              </w:rPr>
              <w:t>第三十八条 生产、使用消耗臭氧层物质数量较大，以及生产过程中附带产生消耗臭氧层物质数量较大的单位，未按照规定安装自动监测设备并与生态环境主管部门的监控设备联网，或者未保证监测设备正常运行导致监测数据不真实、不准确的，由所在地生态环境主管部门责令改正，处2万元以上20万元以下的罚款；拒不改正的，责令停产整治或者停业整治。</w:t>
            </w:r>
          </w:p>
          <w:p w14:paraId="297312D0">
            <w:pPr>
              <w:pStyle w:val="20"/>
              <w:autoSpaceDE w:val="0"/>
              <w:autoSpaceDN w:val="0"/>
              <w:adjustRightInd w:val="0"/>
              <w:snapToGrid w:val="0"/>
              <w:spacing w:before="20" w:after="20" w:line="300" w:lineRule="auto"/>
              <w:ind w:left="0" w:right="0" w:rightChars="0" w:firstLine="0"/>
              <w:textAlignment w:val="baseline"/>
              <w:rPr>
                <w:rFonts w:hint="eastAsia" w:cs="Times New Roman"/>
                <w:b/>
                <w:bCs/>
                <w:sz w:val="21"/>
                <w:szCs w:val="21"/>
              </w:rPr>
            </w:pPr>
          </w:p>
        </w:tc>
      </w:tr>
      <w:tr w14:paraId="28E93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noWrap w:val="0"/>
            <w:tcMar>
              <w:top w:w="0" w:type="dxa"/>
              <w:left w:w="57" w:type="dxa"/>
              <w:bottom w:w="0" w:type="dxa"/>
              <w:right w:w="57" w:type="dxa"/>
            </w:tcMar>
            <w:vAlign w:val="center"/>
          </w:tcPr>
          <w:p w14:paraId="683CFE37">
            <w:pPr>
              <w:spacing w:before="20" w:after="20" w:line="300" w:lineRule="auto"/>
              <w:jc w:val="center"/>
              <w:rPr>
                <w:rFonts w:ascii="Times New Roman" w:hAnsi="Times New Roman" w:eastAsia="宋体"/>
                <w:b/>
                <w:sz w:val="21"/>
              </w:rPr>
            </w:pPr>
            <w:r>
              <w:rPr>
                <w:rFonts w:ascii="Times New Roman" w:hAnsi="Times New Roman" w:eastAsia="宋体"/>
                <w:b/>
                <w:sz w:val="21"/>
              </w:rPr>
              <w:t>裁量因素</w:t>
            </w:r>
          </w:p>
        </w:tc>
        <w:tc>
          <w:tcPr>
            <w:tcW w:w="3758" w:type="pct"/>
            <w:noWrap w:val="0"/>
            <w:tcMar>
              <w:top w:w="0" w:type="dxa"/>
              <w:left w:w="57" w:type="dxa"/>
              <w:bottom w:w="0" w:type="dxa"/>
              <w:right w:w="57" w:type="dxa"/>
            </w:tcMar>
            <w:vAlign w:val="center"/>
          </w:tcPr>
          <w:p w14:paraId="7C2AF464">
            <w:pPr>
              <w:spacing w:before="20" w:after="20" w:line="300" w:lineRule="auto"/>
              <w:jc w:val="center"/>
              <w:rPr>
                <w:rFonts w:ascii="Times New Roman" w:hAnsi="Times New Roman" w:eastAsia="宋体"/>
                <w:b/>
                <w:sz w:val="21"/>
              </w:rPr>
            </w:pPr>
            <w:r>
              <w:rPr>
                <w:rFonts w:ascii="Times New Roman" w:hAnsi="Times New Roman" w:eastAsia="宋体"/>
                <w:b/>
                <w:sz w:val="21"/>
              </w:rPr>
              <w:t>裁量因子</w:t>
            </w:r>
          </w:p>
        </w:tc>
        <w:tc>
          <w:tcPr>
            <w:tcW w:w="601" w:type="pct"/>
            <w:noWrap w:val="0"/>
            <w:tcMar>
              <w:top w:w="0" w:type="dxa"/>
              <w:left w:w="57" w:type="dxa"/>
              <w:bottom w:w="0" w:type="dxa"/>
              <w:right w:w="57" w:type="dxa"/>
            </w:tcMar>
            <w:vAlign w:val="center"/>
          </w:tcPr>
          <w:p w14:paraId="6F3147BD">
            <w:pPr>
              <w:spacing w:before="20" w:after="20" w:line="300" w:lineRule="auto"/>
              <w:jc w:val="center"/>
              <w:rPr>
                <w:rFonts w:ascii="Times New Roman" w:hAnsi="Times New Roman" w:eastAsia="宋体"/>
                <w:b/>
                <w:sz w:val="21"/>
              </w:rPr>
            </w:pPr>
            <w:r>
              <w:rPr>
                <w:rFonts w:ascii="Times New Roman" w:hAnsi="Times New Roman" w:eastAsia="宋体"/>
                <w:b/>
                <w:sz w:val="21"/>
              </w:rPr>
              <w:t>裁量等级</w:t>
            </w:r>
          </w:p>
        </w:tc>
      </w:tr>
      <w:tr w14:paraId="2B4DA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641" w:type="pct"/>
            <w:vMerge w:val="restart"/>
            <w:noWrap w:val="0"/>
            <w:tcMar>
              <w:top w:w="0" w:type="dxa"/>
              <w:left w:w="57" w:type="dxa"/>
              <w:bottom w:w="0" w:type="dxa"/>
              <w:right w:w="57" w:type="dxa"/>
            </w:tcMar>
            <w:vAlign w:val="center"/>
          </w:tcPr>
          <w:p w14:paraId="7E2C7C1D">
            <w:pPr>
              <w:spacing w:before="20" w:after="20" w:line="300" w:lineRule="auto"/>
              <w:jc w:val="center"/>
              <w:rPr>
                <w:rFonts w:ascii="Times New Roman" w:hAnsi="Times New Roman" w:eastAsia="宋体"/>
                <w:b/>
                <w:sz w:val="21"/>
              </w:rPr>
            </w:pPr>
            <w:r>
              <w:rPr>
                <w:rFonts w:ascii="Times New Roman" w:hAnsi="Times New Roman" w:eastAsia="宋体"/>
                <w:b/>
                <w:sz w:val="21"/>
              </w:rPr>
              <w:t>违法事实</w:t>
            </w:r>
          </w:p>
        </w:tc>
        <w:tc>
          <w:tcPr>
            <w:tcW w:w="3758" w:type="pct"/>
            <w:noWrap w:val="0"/>
            <w:tcMar>
              <w:top w:w="0" w:type="dxa"/>
              <w:left w:w="57" w:type="dxa"/>
              <w:bottom w:w="0" w:type="dxa"/>
              <w:right w:w="57" w:type="dxa"/>
            </w:tcMar>
            <w:vAlign w:val="center"/>
          </w:tcPr>
          <w:p w14:paraId="0D8EAF2D">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未安装使用维护正常运行污染物排放自动监测、监控设备，未与主管部门的监控设备联网，未保存原始监测记录，以及未如实报告</w:t>
            </w:r>
            <w:r>
              <w:rPr>
                <w:rFonts w:cs="Times New Roman"/>
                <w:sz w:val="21"/>
                <w:szCs w:val="21"/>
              </w:rPr>
              <w:t>，有其中1项情形</w:t>
            </w:r>
            <w:bookmarkStart w:id="8" w:name="FunCunProofread303521"/>
            <w:r>
              <w:rPr>
                <w:rFonts w:hint="eastAsia" w:cs="Times New Roman"/>
                <w:sz w:val="21"/>
                <w:szCs w:val="21"/>
              </w:rPr>
              <w:t>的</w:t>
            </w:r>
            <w:bookmarkEnd w:id="8"/>
          </w:p>
        </w:tc>
        <w:tc>
          <w:tcPr>
            <w:tcW w:w="601" w:type="pct"/>
            <w:noWrap w:val="0"/>
            <w:tcMar>
              <w:top w:w="0" w:type="dxa"/>
              <w:left w:w="57" w:type="dxa"/>
              <w:bottom w:w="0" w:type="dxa"/>
              <w:right w:w="57" w:type="dxa"/>
            </w:tcMar>
            <w:vAlign w:val="center"/>
          </w:tcPr>
          <w:p w14:paraId="7397732D">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1BFB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641" w:type="pct"/>
            <w:vMerge w:val="continue"/>
            <w:noWrap w:val="0"/>
            <w:tcMar>
              <w:top w:w="0" w:type="dxa"/>
              <w:left w:w="57" w:type="dxa"/>
              <w:bottom w:w="0" w:type="dxa"/>
              <w:right w:w="57" w:type="dxa"/>
            </w:tcMar>
            <w:vAlign w:val="center"/>
          </w:tcPr>
          <w:p w14:paraId="74CDC1EB">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58" w:type="pct"/>
            <w:noWrap w:val="0"/>
            <w:tcMar>
              <w:top w:w="0" w:type="dxa"/>
              <w:left w:w="57" w:type="dxa"/>
              <w:bottom w:w="0" w:type="dxa"/>
              <w:right w:w="57" w:type="dxa"/>
            </w:tcMar>
            <w:vAlign w:val="center"/>
          </w:tcPr>
          <w:p w14:paraId="3AFE6AD8">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未安装使用维护正常运行污染物排放自动监测、监控设备，未与主管部门的监控设备联网，未保存原始监测记录，以及未如实报告</w:t>
            </w:r>
            <w:r>
              <w:rPr>
                <w:rFonts w:cs="Times New Roman"/>
                <w:sz w:val="21"/>
                <w:szCs w:val="21"/>
              </w:rPr>
              <w:t>，有其中2项情形</w:t>
            </w:r>
            <w:r>
              <w:rPr>
                <w:rFonts w:hint="eastAsia" w:cs="Times New Roman"/>
                <w:sz w:val="21"/>
                <w:szCs w:val="21"/>
              </w:rPr>
              <w:t>的</w:t>
            </w:r>
          </w:p>
        </w:tc>
        <w:tc>
          <w:tcPr>
            <w:tcW w:w="601" w:type="pct"/>
            <w:noWrap w:val="0"/>
            <w:tcMar>
              <w:top w:w="0" w:type="dxa"/>
              <w:left w:w="57" w:type="dxa"/>
              <w:bottom w:w="0" w:type="dxa"/>
              <w:right w:w="57" w:type="dxa"/>
            </w:tcMar>
            <w:vAlign w:val="center"/>
          </w:tcPr>
          <w:p w14:paraId="707E9847">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030CE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641" w:type="pct"/>
            <w:vMerge w:val="continue"/>
            <w:noWrap w:val="0"/>
            <w:tcMar>
              <w:top w:w="0" w:type="dxa"/>
              <w:left w:w="57" w:type="dxa"/>
              <w:bottom w:w="0" w:type="dxa"/>
              <w:right w:w="57" w:type="dxa"/>
            </w:tcMar>
            <w:vAlign w:val="center"/>
          </w:tcPr>
          <w:p w14:paraId="3EA5C433">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58" w:type="pct"/>
            <w:noWrap w:val="0"/>
            <w:tcMar>
              <w:top w:w="0" w:type="dxa"/>
              <w:left w:w="57" w:type="dxa"/>
              <w:bottom w:w="0" w:type="dxa"/>
              <w:right w:w="57" w:type="dxa"/>
            </w:tcMar>
            <w:vAlign w:val="center"/>
          </w:tcPr>
          <w:p w14:paraId="1CB17A68">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未安装使用维护正常运行污染物排放自动监测、监控设备，未与主管部门的监控设备联网，未保存原始监测记录，以及未如实报告</w:t>
            </w:r>
            <w:r>
              <w:rPr>
                <w:rFonts w:cs="Times New Roman"/>
                <w:sz w:val="21"/>
                <w:szCs w:val="21"/>
              </w:rPr>
              <w:t>，有其中3项情形</w:t>
            </w:r>
            <w:r>
              <w:rPr>
                <w:rFonts w:hint="eastAsia" w:cs="Times New Roman"/>
                <w:sz w:val="21"/>
                <w:szCs w:val="21"/>
              </w:rPr>
              <w:t>以上的</w:t>
            </w:r>
          </w:p>
        </w:tc>
        <w:tc>
          <w:tcPr>
            <w:tcW w:w="601" w:type="pct"/>
            <w:noWrap w:val="0"/>
            <w:tcMar>
              <w:top w:w="0" w:type="dxa"/>
              <w:left w:w="57" w:type="dxa"/>
              <w:bottom w:w="0" w:type="dxa"/>
              <w:right w:w="57" w:type="dxa"/>
            </w:tcMar>
            <w:vAlign w:val="center"/>
          </w:tcPr>
          <w:p w14:paraId="1F034EF7">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1A4FD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641" w:type="pct"/>
            <w:vMerge w:val="restart"/>
            <w:noWrap w:val="0"/>
            <w:tcMar>
              <w:top w:w="0" w:type="dxa"/>
              <w:left w:w="57" w:type="dxa"/>
              <w:bottom w:w="0" w:type="dxa"/>
              <w:right w:w="57" w:type="dxa"/>
            </w:tcMar>
            <w:vAlign w:val="center"/>
          </w:tcPr>
          <w:p w14:paraId="1B95316E">
            <w:pPr>
              <w:spacing w:before="20" w:after="20" w:line="300" w:lineRule="auto"/>
              <w:jc w:val="center"/>
              <w:rPr>
                <w:rFonts w:ascii="Times New Roman" w:hAnsi="Times New Roman" w:eastAsia="宋体"/>
                <w:b/>
                <w:sz w:val="21"/>
              </w:rPr>
            </w:pPr>
            <w:r>
              <w:rPr>
                <w:rFonts w:ascii="Times New Roman" w:hAnsi="Times New Roman" w:eastAsia="宋体"/>
                <w:b/>
                <w:sz w:val="21"/>
              </w:rPr>
              <w:t>监测数据</w:t>
            </w:r>
          </w:p>
          <w:p w14:paraId="08F42D7C">
            <w:pPr>
              <w:spacing w:before="20" w:after="20" w:line="300" w:lineRule="auto"/>
              <w:jc w:val="center"/>
              <w:rPr>
                <w:rFonts w:ascii="Times New Roman" w:hAnsi="Times New Roman" w:eastAsia="宋体"/>
                <w:b/>
                <w:sz w:val="21"/>
              </w:rPr>
            </w:pPr>
            <w:r>
              <w:rPr>
                <w:rFonts w:ascii="Times New Roman" w:hAnsi="Times New Roman" w:eastAsia="宋体"/>
                <w:b/>
                <w:sz w:val="21"/>
              </w:rPr>
              <w:t>误差</w:t>
            </w:r>
          </w:p>
        </w:tc>
        <w:tc>
          <w:tcPr>
            <w:tcW w:w="3758" w:type="pct"/>
            <w:noWrap w:val="0"/>
            <w:tcMar>
              <w:top w:w="0" w:type="dxa"/>
              <w:left w:w="57" w:type="dxa"/>
              <w:bottom w:w="0" w:type="dxa"/>
              <w:right w:w="57" w:type="dxa"/>
            </w:tcMar>
            <w:vAlign w:val="center"/>
          </w:tcPr>
          <w:p w14:paraId="030C2522">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未保证监测设备正常运行，造成自动监测与人工监测（或者标准物质测试）数据误差超过技术规范允许范围1倍</w:t>
            </w:r>
            <w:r>
              <w:rPr>
                <w:rFonts w:hint="eastAsia" w:cs="Times New Roman"/>
                <w:sz w:val="21"/>
                <w:szCs w:val="21"/>
              </w:rPr>
              <w:t>以下</w:t>
            </w:r>
            <w:r>
              <w:rPr>
                <w:rFonts w:cs="Times New Roman"/>
                <w:sz w:val="21"/>
                <w:szCs w:val="21"/>
              </w:rPr>
              <w:t>的</w:t>
            </w:r>
          </w:p>
        </w:tc>
        <w:tc>
          <w:tcPr>
            <w:tcW w:w="601" w:type="pct"/>
            <w:noWrap w:val="0"/>
            <w:tcMar>
              <w:top w:w="0" w:type="dxa"/>
              <w:left w:w="57" w:type="dxa"/>
              <w:bottom w:w="0" w:type="dxa"/>
              <w:right w:w="57" w:type="dxa"/>
            </w:tcMar>
            <w:vAlign w:val="center"/>
          </w:tcPr>
          <w:p w14:paraId="76DF1167">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029D0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641" w:type="pct"/>
            <w:vMerge w:val="continue"/>
            <w:noWrap w:val="0"/>
            <w:tcMar>
              <w:top w:w="0" w:type="dxa"/>
              <w:left w:w="57" w:type="dxa"/>
              <w:bottom w:w="0" w:type="dxa"/>
              <w:right w:w="57" w:type="dxa"/>
            </w:tcMar>
            <w:vAlign w:val="center"/>
          </w:tcPr>
          <w:p w14:paraId="6B76A317">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58" w:type="pct"/>
            <w:noWrap w:val="0"/>
            <w:tcMar>
              <w:top w:w="0" w:type="dxa"/>
              <w:left w:w="57" w:type="dxa"/>
              <w:bottom w:w="0" w:type="dxa"/>
              <w:right w:w="57" w:type="dxa"/>
            </w:tcMar>
            <w:vAlign w:val="center"/>
          </w:tcPr>
          <w:p w14:paraId="477F0608">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未保证监测设备正常运行，造成自动监测与人工监测（或者</w:t>
            </w:r>
            <w:r>
              <w:rPr>
                <w:rFonts w:hint="eastAsia" w:cs="Times New Roman"/>
                <w:sz w:val="21"/>
                <w:szCs w:val="21"/>
              </w:rPr>
              <w:t>标准物质</w:t>
            </w:r>
            <w:r>
              <w:rPr>
                <w:rFonts w:cs="Times New Roman"/>
                <w:sz w:val="21"/>
                <w:szCs w:val="21"/>
              </w:rPr>
              <w:t>测试）数据误差超过技术规范允许范围1倍以上2倍</w:t>
            </w:r>
            <w:r>
              <w:rPr>
                <w:rFonts w:hint="eastAsia" w:cs="Times New Roman"/>
                <w:sz w:val="21"/>
                <w:szCs w:val="21"/>
              </w:rPr>
              <w:t>以下</w:t>
            </w:r>
            <w:r>
              <w:rPr>
                <w:rFonts w:cs="Times New Roman"/>
                <w:sz w:val="21"/>
                <w:szCs w:val="21"/>
              </w:rPr>
              <w:t>的</w:t>
            </w:r>
          </w:p>
        </w:tc>
        <w:tc>
          <w:tcPr>
            <w:tcW w:w="601" w:type="pct"/>
            <w:noWrap w:val="0"/>
            <w:tcMar>
              <w:top w:w="0" w:type="dxa"/>
              <w:left w:w="57" w:type="dxa"/>
              <w:bottom w:w="0" w:type="dxa"/>
              <w:right w:w="57" w:type="dxa"/>
            </w:tcMar>
            <w:vAlign w:val="center"/>
          </w:tcPr>
          <w:p w14:paraId="64BA7540">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170FA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641" w:type="pct"/>
            <w:vMerge w:val="continue"/>
            <w:noWrap w:val="0"/>
            <w:tcMar>
              <w:top w:w="0" w:type="dxa"/>
              <w:left w:w="57" w:type="dxa"/>
              <w:bottom w:w="0" w:type="dxa"/>
              <w:right w:w="57" w:type="dxa"/>
            </w:tcMar>
            <w:vAlign w:val="center"/>
          </w:tcPr>
          <w:p w14:paraId="0C3E3240">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58" w:type="pct"/>
            <w:noWrap w:val="0"/>
            <w:tcMar>
              <w:top w:w="0" w:type="dxa"/>
              <w:left w:w="57" w:type="dxa"/>
              <w:bottom w:w="0" w:type="dxa"/>
              <w:right w:w="57" w:type="dxa"/>
            </w:tcMar>
            <w:vAlign w:val="center"/>
          </w:tcPr>
          <w:p w14:paraId="09A246A1">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未保证自动监测设备正常运行，造成自动监测与人工监测（或者标准物质测试）数据误差超过技术规范允许范围2倍以上的</w:t>
            </w:r>
          </w:p>
        </w:tc>
        <w:tc>
          <w:tcPr>
            <w:tcW w:w="601" w:type="pct"/>
            <w:noWrap w:val="0"/>
            <w:tcMar>
              <w:top w:w="0" w:type="dxa"/>
              <w:left w:w="57" w:type="dxa"/>
              <w:bottom w:w="0" w:type="dxa"/>
              <w:right w:w="57" w:type="dxa"/>
            </w:tcMar>
            <w:vAlign w:val="center"/>
          </w:tcPr>
          <w:p w14:paraId="5A80EE7C">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49F2C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restart"/>
            <w:noWrap w:val="0"/>
            <w:tcMar>
              <w:top w:w="0" w:type="dxa"/>
              <w:left w:w="57" w:type="dxa"/>
              <w:bottom w:w="0" w:type="dxa"/>
              <w:right w:w="57" w:type="dxa"/>
            </w:tcMar>
            <w:vAlign w:val="center"/>
          </w:tcPr>
          <w:p w14:paraId="02DDB0D8">
            <w:pPr>
              <w:spacing w:before="20" w:after="20" w:line="300" w:lineRule="auto"/>
              <w:jc w:val="center"/>
              <w:rPr>
                <w:rFonts w:ascii="Times New Roman" w:hAnsi="Times New Roman" w:eastAsia="宋体"/>
                <w:b/>
                <w:sz w:val="21"/>
              </w:rPr>
            </w:pPr>
            <w:r>
              <w:rPr>
                <w:rFonts w:ascii="Times New Roman" w:hAnsi="Times New Roman" w:eastAsia="宋体"/>
                <w:b/>
                <w:sz w:val="21"/>
              </w:rPr>
              <w:t>监测数据</w:t>
            </w:r>
          </w:p>
          <w:p w14:paraId="4338C160">
            <w:pPr>
              <w:spacing w:before="20" w:after="20" w:line="300" w:lineRule="auto"/>
              <w:jc w:val="center"/>
              <w:rPr>
                <w:rFonts w:ascii="Times New Roman" w:hAnsi="Times New Roman" w:eastAsia="宋体"/>
                <w:b/>
                <w:sz w:val="21"/>
              </w:rPr>
            </w:pPr>
            <w:r>
              <w:rPr>
                <w:rFonts w:ascii="Times New Roman" w:hAnsi="Times New Roman" w:eastAsia="宋体"/>
                <w:b/>
                <w:sz w:val="21"/>
              </w:rPr>
              <w:t>传输偏差</w:t>
            </w:r>
          </w:p>
        </w:tc>
        <w:tc>
          <w:tcPr>
            <w:tcW w:w="3758" w:type="pct"/>
            <w:noWrap w:val="0"/>
            <w:tcMar>
              <w:top w:w="0" w:type="dxa"/>
              <w:left w:w="57" w:type="dxa"/>
              <w:bottom w:w="0" w:type="dxa"/>
              <w:right w:w="57" w:type="dxa"/>
            </w:tcMar>
            <w:vAlign w:val="center"/>
          </w:tcPr>
          <w:p w14:paraId="25DB660E">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传输的自动监测数据与现场分析仪表数据不一致，数据偏差1%以上</w:t>
            </w:r>
            <w:r>
              <w:rPr>
                <w:rFonts w:hint="eastAsia" w:cs="Times New Roman"/>
                <w:sz w:val="21"/>
                <w:szCs w:val="21"/>
              </w:rPr>
              <w:t>不足</w:t>
            </w:r>
            <w:r>
              <w:rPr>
                <w:rFonts w:cs="Times New Roman"/>
                <w:sz w:val="21"/>
                <w:szCs w:val="21"/>
              </w:rPr>
              <w:t>5%的</w:t>
            </w:r>
          </w:p>
        </w:tc>
        <w:tc>
          <w:tcPr>
            <w:tcW w:w="601" w:type="pct"/>
            <w:noWrap w:val="0"/>
            <w:tcMar>
              <w:top w:w="0" w:type="dxa"/>
              <w:left w:w="57" w:type="dxa"/>
              <w:bottom w:w="0" w:type="dxa"/>
              <w:right w:w="57" w:type="dxa"/>
            </w:tcMar>
            <w:vAlign w:val="center"/>
          </w:tcPr>
          <w:p w14:paraId="7732DCE7">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0A23F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continue"/>
            <w:noWrap w:val="0"/>
            <w:tcMar>
              <w:top w:w="0" w:type="dxa"/>
              <w:left w:w="57" w:type="dxa"/>
              <w:bottom w:w="0" w:type="dxa"/>
              <w:right w:w="57" w:type="dxa"/>
            </w:tcMar>
            <w:vAlign w:val="center"/>
          </w:tcPr>
          <w:p w14:paraId="1CD111B9">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58" w:type="pct"/>
            <w:noWrap w:val="0"/>
            <w:tcMar>
              <w:top w:w="0" w:type="dxa"/>
              <w:left w:w="57" w:type="dxa"/>
              <w:bottom w:w="0" w:type="dxa"/>
              <w:right w:w="57" w:type="dxa"/>
            </w:tcMar>
            <w:vAlign w:val="center"/>
          </w:tcPr>
          <w:p w14:paraId="7E707EEE">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传输的自动监测数据与现场分析仪表数据不一致，数据偏差5%以上</w:t>
            </w:r>
            <w:r>
              <w:rPr>
                <w:rFonts w:hint="eastAsia" w:cs="Times New Roman"/>
                <w:sz w:val="21"/>
                <w:szCs w:val="21"/>
              </w:rPr>
              <w:t>不足</w:t>
            </w:r>
            <w:r>
              <w:rPr>
                <w:rFonts w:cs="Times New Roman"/>
                <w:sz w:val="21"/>
                <w:szCs w:val="21"/>
              </w:rPr>
              <w:t>10%的</w:t>
            </w:r>
          </w:p>
        </w:tc>
        <w:tc>
          <w:tcPr>
            <w:tcW w:w="601" w:type="pct"/>
            <w:noWrap w:val="0"/>
            <w:tcMar>
              <w:top w:w="0" w:type="dxa"/>
              <w:left w:w="57" w:type="dxa"/>
              <w:bottom w:w="0" w:type="dxa"/>
              <w:right w:w="57" w:type="dxa"/>
            </w:tcMar>
            <w:vAlign w:val="center"/>
          </w:tcPr>
          <w:p w14:paraId="4C114708">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3632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continue"/>
            <w:noWrap w:val="0"/>
            <w:tcMar>
              <w:top w:w="0" w:type="dxa"/>
              <w:left w:w="57" w:type="dxa"/>
              <w:bottom w:w="0" w:type="dxa"/>
              <w:right w:w="57" w:type="dxa"/>
            </w:tcMar>
            <w:vAlign w:val="center"/>
          </w:tcPr>
          <w:p w14:paraId="5619FC3B">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58" w:type="pct"/>
            <w:noWrap w:val="0"/>
            <w:tcMar>
              <w:top w:w="0" w:type="dxa"/>
              <w:left w:w="57" w:type="dxa"/>
              <w:bottom w:w="0" w:type="dxa"/>
              <w:right w:w="57" w:type="dxa"/>
            </w:tcMar>
            <w:vAlign w:val="center"/>
          </w:tcPr>
          <w:p w14:paraId="6D80ED18">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传输的自动监测数据与现场分析仪表数据不一致，数据偏差10%</w:t>
            </w:r>
            <w:r>
              <w:rPr>
                <w:rFonts w:hint="eastAsia" w:cs="Times New Roman"/>
                <w:sz w:val="21"/>
                <w:szCs w:val="21"/>
              </w:rPr>
              <w:t>以上</w:t>
            </w:r>
            <w:r>
              <w:rPr>
                <w:rFonts w:cs="Times New Roman"/>
                <w:sz w:val="21"/>
                <w:szCs w:val="21"/>
              </w:rPr>
              <w:t>的</w:t>
            </w:r>
          </w:p>
        </w:tc>
        <w:tc>
          <w:tcPr>
            <w:tcW w:w="601" w:type="pct"/>
            <w:noWrap w:val="0"/>
            <w:tcMar>
              <w:top w:w="0" w:type="dxa"/>
              <w:left w:w="57" w:type="dxa"/>
              <w:bottom w:w="0" w:type="dxa"/>
              <w:right w:w="57" w:type="dxa"/>
            </w:tcMar>
            <w:vAlign w:val="center"/>
          </w:tcPr>
          <w:p w14:paraId="0C6A5B98">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11467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restart"/>
            <w:noWrap w:val="0"/>
            <w:tcMar>
              <w:top w:w="0" w:type="dxa"/>
              <w:left w:w="57" w:type="dxa"/>
              <w:bottom w:w="0" w:type="dxa"/>
              <w:right w:w="57" w:type="dxa"/>
            </w:tcMar>
            <w:vAlign w:val="center"/>
          </w:tcPr>
          <w:p w14:paraId="6080697E">
            <w:pPr>
              <w:spacing w:before="20" w:after="20" w:line="300" w:lineRule="auto"/>
              <w:jc w:val="center"/>
              <w:rPr>
                <w:rFonts w:ascii="Times New Roman" w:hAnsi="Times New Roman" w:eastAsia="宋体"/>
                <w:b/>
                <w:sz w:val="21"/>
              </w:rPr>
            </w:pPr>
            <w:r>
              <w:rPr>
                <w:rFonts w:ascii="Times New Roman" w:hAnsi="Times New Roman" w:eastAsia="宋体"/>
                <w:b/>
                <w:sz w:val="21"/>
              </w:rPr>
              <w:t>监测数据有效传输率</w:t>
            </w:r>
          </w:p>
        </w:tc>
        <w:tc>
          <w:tcPr>
            <w:tcW w:w="3758" w:type="pct"/>
            <w:noWrap w:val="0"/>
            <w:tcMar>
              <w:top w:w="0" w:type="dxa"/>
              <w:left w:w="57" w:type="dxa"/>
              <w:bottom w:w="0" w:type="dxa"/>
              <w:right w:w="57" w:type="dxa"/>
            </w:tcMar>
            <w:vAlign w:val="center"/>
          </w:tcPr>
          <w:p w14:paraId="52D01820">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自动监测季度数据有效传输率</w:t>
            </w:r>
            <w:r>
              <w:rPr>
                <w:rFonts w:hint="eastAsia" w:cs="Times New Roman"/>
                <w:sz w:val="21"/>
                <w:szCs w:val="21"/>
              </w:rPr>
              <w:t>85</w:t>
            </w:r>
            <w:r>
              <w:rPr>
                <w:rFonts w:cs="Times New Roman"/>
                <w:sz w:val="21"/>
                <w:szCs w:val="21"/>
              </w:rPr>
              <w:t>%以上</w:t>
            </w:r>
            <w:r>
              <w:rPr>
                <w:rFonts w:hint="eastAsia" w:cs="Times New Roman"/>
                <w:sz w:val="21"/>
                <w:szCs w:val="21"/>
              </w:rPr>
              <w:t>，不足</w:t>
            </w:r>
            <w:r>
              <w:rPr>
                <w:rFonts w:cs="Times New Roman"/>
                <w:sz w:val="21"/>
                <w:szCs w:val="21"/>
              </w:rPr>
              <w:t>9</w:t>
            </w:r>
            <w:r>
              <w:rPr>
                <w:rFonts w:hint="eastAsia" w:cs="Times New Roman"/>
                <w:sz w:val="21"/>
                <w:szCs w:val="21"/>
              </w:rPr>
              <w:t>5</w:t>
            </w:r>
            <w:r>
              <w:rPr>
                <w:rFonts w:cs="Times New Roman"/>
                <w:sz w:val="21"/>
                <w:szCs w:val="21"/>
              </w:rPr>
              <w:t>%的</w:t>
            </w:r>
          </w:p>
        </w:tc>
        <w:tc>
          <w:tcPr>
            <w:tcW w:w="601" w:type="pct"/>
            <w:noWrap w:val="0"/>
            <w:tcMar>
              <w:top w:w="0" w:type="dxa"/>
              <w:left w:w="57" w:type="dxa"/>
              <w:bottom w:w="0" w:type="dxa"/>
              <w:right w:w="57" w:type="dxa"/>
            </w:tcMar>
            <w:vAlign w:val="center"/>
          </w:tcPr>
          <w:p w14:paraId="126AA5EA">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61826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continue"/>
            <w:noWrap w:val="0"/>
            <w:tcMar>
              <w:top w:w="0" w:type="dxa"/>
              <w:left w:w="57" w:type="dxa"/>
              <w:bottom w:w="0" w:type="dxa"/>
              <w:right w:w="57" w:type="dxa"/>
            </w:tcMar>
            <w:vAlign w:val="center"/>
          </w:tcPr>
          <w:p w14:paraId="2766D562">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58" w:type="pct"/>
            <w:noWrap w:val="0"/>
            <w:tcMar>
              <w:top w:w="0" w:type="dxa"/>
              <w:left w:w="57" w:type="dxa"/>
              <w:bottom w:w="0" w:type="dxa"/>
              <w:right w:w="57" w:type="dxa"/>
            </w:tcMar>
            <w:vAlign w:val="center"/>
          </w:tcPr>
          <w:p w14:paraId="6FBCB406">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自动监测季度数据有效传输率</w:t>
            </w:r>
            <w:r>
              <w:rPr>
                <w:rFonts w:hint="eastAsia" w:cs="Times New Roman"/>
                <w:sz w:val="21"/>
                <w:szCs w:val="21"/>
              </w:rPr>
              <w:t>75</w:t>
            </w:r>
            <w:r>
              <w:rPr>
                <w:rFonts w:cs="Times New Roman"/>
                <w:sz w:val="21"/>
                <w:szCs w:val="21"/>
              </w:rPr>
              <w:t>%以上</w:t>
            </w:r>
            <w:r>
              <w:rPr>
                <w:rFonts w:hint="eastAsia" w:cs="Times New Roman"/>
                <w:sz w:val="21"/>
                <w:szCs w:val="21"/>
              </w:rPr>
              <w:t>，不足85</w:t>
            </w:r>
            <w:r>
              <w:rPr>
                <w:rFonts w:cs="Times New Roman"/>
                <w:sz w:val="21"/>
                <w:szCs w:val="21"/>
              </w:rPr>
              <w:t>%的</w:t>
            </w:r>
          </w:p>
        </w:tc>
        <w:tc>
          <w:tcPr>
            <w:tcW w:w="601" w:type="pct"/>
            <w:noWrap w:val="0"/>
            <w:tcMar>
              <w:top w:w="0" w:type="dxa"/>
              <w:left w:w="57" w:type="dxa"/>
              <w:bottom w:w="0" w:type="dxa"/>
              <w:right w:w="57" w:type="dxa"/>
            </w:tcMar>
            <w:vAlign w:val="center"/>
          </w:tcPr>
          <w:p w14:paraId="31EF8C81">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7F185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continue"/>
            <w:noWrap w:val="0"/>
            <w:tcMar>
              <w:top w:w="0" w:type="dxa"/>
              <w:left w:w="57" w:type="dxa"/>
              <w:bottom w:w="0" w:type="dxa"/>
              <w:right w:w="57" w:type="dxa"/>
            </w:tcMar>
            <w:vAlign w:val="center"/>
          </w:tcPr>
          <w:p w14:paraId="53DC505F">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58" w:type="pct"/>
            <w:noWrap w:val="0"/>
            <w:tcMar>
              <w:top w:w="0" w:type="dxa"/>
              <w:left w:w="57" w:type="dxa"/>
              <w:bottom w:w="0" w:type="dxa"/>
              <w:right w:w="57" w:type="dxa"/>
            </w:tcMar>
            <w:vAlign w:val="center"/>
          </w:tcPr>
          <w:p w14:paraId="45D40D3B">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自动监测季度数据有效传输率</w:t>
            </w:r>
            <w:r>
              <w:rPr>
                <w:rFonts w:hint="eastAsia" w:cs="Times New Roman"/>
                <w:sz w:val="21"/>
                <w:szCs w:val="21"/>
              </w:rPr>
              <w:t>不足75</w:t>
            </w:r>
            <w:r>
              <w:rPr>
                <w:rFonts w:cs="Times New Roman"/>
                <w:sz w:val="21"/>
                <w:szCs w:val="21"/>
              </w:rPr>
              <w:t>%的</w:t>
            </w:r>
          </w:p>
        </w:tc>
        <w:tc>
          <w:tcPr>
            <w:tcW w:w="601" w:type="pct"/>
            <w:noWrap w:val="0"/>
            <w:tcMar>
              <w:top w:w="0" w:type="dxa"/>
              <w:left w:w="57" w:type="dxa"/>
              <w:bottom w:w="0" w:type="dxa"/>
              <w:right w:w="57" w:type="dxa"/>
            </w:tcMar>
            <w:vAlign w:val="center"/>
          </w:tcPr>
          <w:p w14:paraId="36B02A34">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6610D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restart"/>
            <w:noWrap w:val="0"/>
            <w:tcMar>
              <w:top w:w="0" w:type="dxa"/>
              <w:left w:w="57" w:type="dxa"/>
              <w:bottom w:w="0" w:type="dxa"/>
              <w:right w:w="57" w:type="dxa"/>
            </w:tcMar>
            <w:vAlign w:val="center"/>
          </w:tcPr>
          <w:p w14:paraId="1A626B94">
            <w:pPr>
              <w:spacing w:before="20" w:after="20" w:line="300" w:lineRule="auto"/>
              <w:jc w:val="center"/>
              <w:rPr>
                <w:rFonts w:ascii="Times New Roman" w:hAnsi="Times New Roman" w:eastAsia="宋体"/>
                <w:b/>
                <w:sz w:val="21"/>
              </w:rPr>
            </w:pPr>
            <w:r>
              <w:rPr>
                <w:rFonts w:ascii="Times New Roman" w:hAnsi="Times New Roman" w:eastAsia="宋体"/>
                <w:b/>
                <w:sz w:val="21"/>
              </w:rPr>
              <w:t>废气类别</w:t>
            </w:r>
          </w:p>
        </w:tc>
        <w:tc>
          <w:tcPr>
            <w:tcW w:w="3758" w:type="pct"/>
            <w:noWrap w:val="0"/>
            <w:tcMar>
              <w:top w:w="0" w:type="dxa"/>
              <w:left w:w="57" w:type="dxa"/>
              <w:bottom w:w="0" w:type="dxa"/>
              <w:right w:w="57" w:type="dxa"/>
            </w:tcMar>
            <w:vAlign w:val="center"/>
          </w:tcPr>
          <w:p w14:paraId="10413479">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一般工业废气/含恶臭污染物的废气/医疗</w:t>
            </w:r>
            <w:r>
              <w:rPr>
                <w:rFonts w:hint="eastAsia" w:cs="Times New Roman"/>
                <w:sz w:val="21"/>
                <w:szCs w:val="21"/>
              </w:rPr>
              <w:t>废气</w:t>
            </w:r>
            <w:r>
              <w:rPr>
                <w:rFonts w:cs="Times New Roman"/>
                <w:sz w:val="21"/>
                <w:szCs w:val="21"/>
              </w:rPr>
              <w:t>/实验室</w:t>
            </w:r>
            <w:r>
              <w:rPr>
                <w:rFonts w:hint="eastAsia" w:cs="Times New Roman"/>
                <w:sz w:val="21"/>
                <w:szCs w:val="21"/>
              </w:rPr>
              <w:t>废气/非甲烷总烃</w:t>
            </w:r>
          </w:p>
        </w:tc>
        <w:tc>
          <w:tcPr>
            <w:tcW w:w="601" w:type="pct"/>
            <w:noWrap w:val="0"/>
            <w:tcMar>
              <w:top w:w="0" w:type="dxa"/>
              <w:left w:w="57" w:type="dxa"/>
              <w:bottom w:w="0" w:type="dxa"/>
              <w:right w:w="57" w:type="dxa"/>
            </w:tcMar>
            <w:vAlign w:val="center"/>
          </w:tcPr>
          <w:p w14:paraId="1F4A81A8">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0CD04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continue"/>
            <w:noWrap w:val="0"/>
            <w:tcMar>
              <w:top w:w="0" w:type="dxa"/>
              <w:left w:w="57" w:type="dxa"/>
              <w:bottom w:w="0" w:type="dxa"/>
              <w:right w:w="57" w:type="dxa"/>
            </w:tcMar>
            <w:vAlign w:val="center"/>
          </w:tcPr>
          <w:p w14:paraId="2BD1F1AD">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58" w:type="pct"/>
            <w:noWrap w:val="0"/>
            <w:tcMar>
              <w:top w:w="0" w:type="dxa"/>
              <w:left w:w="57" w:type="dxa"/>
              <w:bottom w:w="0" w:type="dxa"/>
              <w:right w:w="57" w:type="dxa"/>
            </w:tcMar>
            <w:vAlign w:val="center"/>
          </w:tcPr>
          <w:p w14:paraId="20099BFC">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火电、钢铁、石化、水泥、炼焦、有色、化工废气、烟尘/燃煤锅炉废气、烟尘</w:t>
            </w:r>
          </w:p>
        </w:tc>
        <w:tc>
          <w:tcPr>
            <w:tcW w:w="601" w:type="pct"/>
            <w:noWrap w:val="0"/>
            <w:tcMar>
              <w:top w:w="0" w:type="dxa"/>
              <w:left w:w="57" w:type="dxa"/>
              <w:bottom w:w="0" w:type="dxa"/>
              <w:right w:w="57" w:type="dxa"/>
            </w:tcMar>
            <w:vAlign w:val="center"/>
          </w:tcPr>
          <w:p w14:paraId="37B0CAAF">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16DEB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continue"/>
            <w:noWrap w:val="0"/>
            <w:tcMar>
              <w:top w:w="0" w:type="dxa"/>
              <w:left w:w="57" w:type="dxa"/>
              <w:bottom w:w="0" w:type="dxa"/>
              <w:right w:w="57" w:type="dxa"/>
            </w:tcMar>
            <w:vAlign w:val="center"/>
          </w:tcPr>
          <w:p w14:paraId="5BEF1C76">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58" w:type="pct"/>
            <w:noWrap w:val="0"/>
            <w:tcMar>
              <w:top w:w="0" w:type="dxa"/>
              <w:left w:w="57" w:type="dxa"/>
              <w:bottom w:w="0" w:type="dxa"/>
              <w:right w:w="57" w:type="dxa"/>
            </w:tcMar>
            <w:vAlign w:val="center"/>
          </w:tcPr>
          <w:p w14:paraId="502C5841">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含</w:t>
            </w:r>
            <w:r>
              <w:rPr>
                <w:rFonts w:hint="eastAsia" w:cs="Times New Roman"/>
                <w:sz w:val="21"/>
                <w:szCs w:val="21"/>
              </w:rPr>
              <w:t>其他</w:t>
            </w:r>
            <w:r>
              <w:rPr>
                <w:rFonts w:cs="Times New Roman"/>
                <w:sz w:val="21"/>
                <w:szCs w:val="21"/>
              </w:rPr>
              <w:t>有毒有害物质的废气</w:t>
            </w:r>
          </w:p>
        </w:tc>
        <w:tc>
          <w:tcPr>
            <w:tcW w:w="601" w:type="pct"/>
            <w:noWrap w:val="0"/>
            <w:tcMar>
              <w:top w:w="0" w:type="dxa"/>
              <w:left w:w="57" w:type="dxa"/>
              <w:bottom w:w="0" w:type="dxa"/>
              <w:right w:w="57" w:type="dxa"/>
            </w:tcMar>
            <w:vAlign w:val="center"/>
          </w:tcPr>
          <w:p w14:paraId="2169B24D">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47FE3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restart"/>
            <w:noWrap w:val="0"/>
            <w:tcMar>
              <w:top w:w="0" w:type="dxa"/>
              <w:left w:w="57" w:type="dxa"/>
              <w:bottom w:w="0" w:type="dxa"/>
              <w:right w:w="57" w:type="dxa"/>
            </w:tcMar>
            <w:vAlign w:val="center"/>
          </w:tcPr>
          <w:p w14:paraId="5B10FC04">
            <w:pPr>
              <w:spacing w:before="20" w:after="20" w:line="300" w:lineRule="auto"/>
              <w:jc w:val="center"/>
              <w:rPr>
                <w:rFonts w:ascii="Times New Roman" w:hAnsi="Times New Roman" w:eastAsia="宋体"/>
                <w:b/>
                <w:sz w:val="21"/>
              </w:rPr>
            </w:pPr>
            <w:r>
              <w:rPr>
                <w:rFonts w:hint="eastAsia" w:ascii="Times New Roman" w:hAnsi="Times New Roman" w:eastAsia="宋体"/>
                <w:b/>
                <w:sz w:val="21"/>
              </w:rPr>
              <w:t>废水类别</w:t>
            </w:r>
          </w:p>
        </w:tc>
        <w:tc>
          <w:tcPr>
            <w:tcW w:w="3758" w:type="pct"/>
            <w:noWrap w:val="0"/>
            <w:tcMar>
              <w:top w:w="0" w:type="dxa"/>
              <w:left w:w="57" w:type="dxa"/>
              <w:bottom w:w="0" w:type="dxa"/>
              <w:right w:w="57" w:type="dxa"/>
            </w:tcMar>
            <w:vAlign w:val="center"/>
          </w:tcPr>
          <w:p w14:paraId="734812ED">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一般工业废水、规模化以上养殖企业养殖废水</w:t>
            </w:r>
          </w:p>
        </w:tc>
        <w:tc>
          <w:tcPr>
            <w:tcW w:w="601" w:type="pct"/>
            <w:noWrap w:val="0"/>
            <w:tcMar>
              <w:top w:w="0" w:type="dxa"/>
              <w:left w:w="57" w:type="dxa"/>
              <w:bottom w:w="0" w:type="dxa"/>
              <w:right w:w="57" w:type="dxa"/>
            </w:tcMar>
            <w:vAlign w:val="center"/>
          </w:tcPr>
          <w:p w14:paraId="1F8FBD5E">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hint="eastAsia" w:ascii="宋体" w:hAnsi="宋体" w:eastAsia="宋体"/>
                <w:sz w:val="21"/>
                <w:szCs w:val="21"/>
              </w:rPr>
              <w:t>1</w:t>
            </w:r>
          </w:p>
        </w:tc>
      </w:tr>
      <w:tr w14:paraId="399BE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41" w:type="pct"/>
            <w:vMerge w:val="continue"/>
            <w:noWrap w:val="0"/>
            <w:tcMar>
              <w:top w:w="0" w:type="dxa"/>
              <w:left w:w="57" w:type="dxa"/>
              <w:bottom w:w="0" w:type="dxa"/>
              <w:right w:w="57" w:type="dxa"/>
            </w:tcMar>
            <w:vAlign w:val="center"/>
          </w:tcPr>
          <w:p w14:paraId="560C668A">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58" w:type="pct"/>
            <w:noWrap w:val="0"/>
            <w:tcMar>
              <w:top w:w="0" w:type="dxa"/>
              <w:left w:w="57" w:type="dxa"/>
              <w:bottom w:w="0" w:type="dxa"/>
              <w:right w:w="57" w:type="dxa"/>
            </w:tcMar>
            <w:vAlign w:val="center"/>
          </w:tcPr>
          <w:p w14:paraId="0A9FD49C">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含</w:t>
            </w:r>
            <w:r>
              <w:rPr>
                <w:rFonts w:hint="eastAsia" w:cs="Times New Roman"/>
                <w:sz w:val="21"/>
                <w:szCs w:val="21"/>
              </w:rPr>
              <w:t>其他</w:t>
            </w:r>
            <w:r>
              <w:rPr>
                <w:rFonts w:cs="Times New Roman"/>
                <w:sz w:val="21"/>
                <w:szCs w:val="21"/>
              </w:rPr>
              <w:t>有毒有害污染物的废水、医疗废水</w:t>
            </w:r>
          </w:p>
        </w:tc>
        <w:tc>
          <w:tcPr>
            <w:tcW w:w="601" w:type="pct"/>
            <w:noWrap w:val="0"/>
            <w:tcMar>
              <w:top w:w="0" w:type="dxa"/>
              <w:left w:w="57" w:type="dxa"/>
              <w:bottom w:w="0" w:type="dxa"/>
              <w:right w:w="57" w:type="dxa"/>
            </w:tcMar>
            <w:vAlign w:val="center"/>
          </w:tcPr>
          <w:p w14:paraId="3641E138">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hint="eastAsia" w:ascii="宋体" w:hAnsi="宋体" w:eastAsia="宋体"/>
                <w:sz w:val="21"/>
                <w:szCs w:val="21"/>
              </w:rPr>
              <w:t>3</w:t>
            </w:r>
          </w:p>
        </w:tc>
      </w:tr>
      <w:tr w14:paraId="77576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continue"/>
            <w:noWrap w:val="0"/>
            <w:tcMar>
              <w:top w:w="0" w:type="dxa"/>
              <w:left w:w="57" w:type="dxa"/>
              <w:bottom w:w="0" w:type="dxa"/>
              <w:right w:w="57" w:type="dxa"/>
            </w:tcMar>
            <w:vAlign w:val="center"/>
          </w:tcPr>
          <w:p w14:paraId="441D98E1">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58" w:type="pct"/>
            <w:noWrap w:val="0"/>
            <w:tcMar>
              <w:top w:w="0" w:type="dxa"/>
              <w:left w:w="57" w:type="dxa"/>
              <w:bottom w:w="0" w:type="dxa"/>
              <w:right w:w="57" w:type="dxa"/>
            </w:tcMar>
            <w:vAlign w:val="center"/>
          </w:tcPr>
          <w:p w14:paraId="6F396CEC">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含</w:t>
            </w:r>
            <w:r>
              <w:rPr>
                <w:rFonts w:hint="eastAsia" w:cs="Times New Roman"/>
                <w:sz w:val="21"/>
                <w:szCs w:val="21"/>
              </w:rPr>
              <w:t>第</w:t>
            </w:r>
            <w:r>
              <w:rPr>
                <w:rFonts w:cs="Times New Roman"/>
                <w:sz w:val="21"/>
                <w:szCs w:val="21"/>
              </w:rPr>
              <w:t>一类污染物或重金属、放射性物质的</w:t>
            </w:r>
            <w:r>
              <w:rPr>
                <w:rFonts w:hint="eastAsia" w:cs="Times New Roman"/>
                <w:sz w:val="21"/>
                <w:szCs w:val="21"/>
              </w:rPr>
              <w:t>废水</w:t>
            </w:r>
          </w:p>
        </w:tc>
        <w:tc>
          <w:tcPr>
            <w:tcW w:w="601" w:type="pct"/>
            <w:noWrap w:val="0"/>
            <w:tcMar>
              <w:top w:w="0" w:type="dxa"/>
              <w:left w:w="57" w:type="dxa"/>
              <w:bottom w:w="0" w:type="dxa"/>
              <w:right w:w="57" w:type="dxa"/>
            </w:tcMar>
            <w:vAlign w:val="center"/>
          </w:tcPr>
          <w:p w14:paraId="5766316C">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hint="eastAsia" w:ascii="宋体" w:hAnsi="宋体" w:eastAsia="宋体"/>
                <w:sz w:val="21"/>
                <w:szCs w:val="21"/>
              </w:rPr>
              <w:t>5</w:t>
            </w:r>
          </w:p>
        </w:tc>
      </w:tr>
      <w:tr w14:paraId="26ECF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restart"/>
            <w:noWrap w:val="0"/>
            <w:tcMar>
              <w:top w:w="0" w:type="dxa"/>
              <w:left w:w="57" w:type="dxa"/>
              <w:bottom w:w="0" w:type="dxa"/>
              <w:right w:w="57" w:type="dxa"/>
            </w:tcMar>
            <w:vAlign w:val="center"/>
          </w:tcPr>
          <w:p w14:paraId="6E9D7D7E">
            <w:pPr>
              <w:spacing w:before="20" w:after="20" w:line="300" w:lineRule="auto"/>
              <w:jc w:val="center"/>
              <w:rPr>
                <w:rFonts w:ascii="Times New Roman" w:hAnsi="Times New Roman" w:eastAsia="宋体"/>
                <w:b/>
                <w:sz w:val="21"/>
              </w:rPr>
            </w:pPr>
            <w:r>
              <w:rPr>
                <w:rFonts w:ascii="Times New Roman" w:hAnsi="Times New Roman" w:eastAsia="宋体"/>
                <w:b/>
                <w:sz w:val="21"/>
              </w:rPr>
              <w:t>排放去向</w:t>
            </w:r>
          </w:p>
          <w:p w14:paraId="0487AC4A">
            <w:pPr>
              <w:spacing w:before="20" w:after="20" w:line="300" w:lineRule="auto"/>
              <w:jc w:val="center"/>
              <w:rPr>
                <w:rFonts w:hint="eastAsia" w:ascii="宋体" w:hAnsi="宋体" w:eastAsia="宋体"/>
                <w:sz w:val="21"/>
                <w:szCs w:val="21"/>
              </w:rPr>
            </w:pPr>
            <w:r>
              <w:rPr>
                <w:rFonts w:ascii="Times New Roman" w:hAnsi="Times New Roman" w:eastAsia="宋体"/>
                <w:b/>
                <w:sz w:val="21"/>
              </w:rPr>
              <w:t>或区域</w:t>
            </w:r>
          </w:p>
        </w:tc>
        <w:tc>
          <w:tcPr>
            <w:tcW w:w="3758" w:type="pct"/>
            <w:noWrap w:val="0"/>
            <w:tcMar>
              <w:top w:w="0" w:type="dxa"/>
              <w:left w:w="57" w:type="dxa"/>
              <w:bottom w:w="0" w:type="dxa"/>
              <w:right w:w="57" w:type="dxa"/>
            </w:tcMar>
            <w:vAlign w:val="center"/>
          </w:tcPr>
          <w:p w14:paraId="650C8462">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二类功能区（特定化工园区）/</w:t>
            </w:r>
            <w:r>
              <w:rPr>
                <w:rFonts w:hint="eastAsia" w:cs="Times New Roman"/>
                <w:sz w:val="21"/>
                <w:szCs w:val="21"/>
              </w:rPr>
              <w:t>地表水</w:t>
            </w:r>
            <w:r>
              <w:rPr>
                <w:rFonts w:cs="Times New Roman"/>
                <w:sz w:val="21"/>
                <w:szCs w:val="21"/>
              </w:rPr>
              <w:t>V类水体或污</w:t>
            </w:r>
            <w:r>
              <w:rPr>
                <w:rFonts w:cs="Times New Roman"/>
                <w:spacing w:val="8"/>
                <w:sz w:val="21"/>
                <w:szCs w:val="21"/>
              </w:rPr>
              <w:t>水集中处理设施</w:t>
            </w:r>
          </w:p>
        </w:tc>
        <w:tc>
          <w:tcPr>
            <w:tcW w:w="601" w:type="pct"/>
            <w:noWrap w:val="0"/>
            <w:tcMar>
              <w:top w:w="0" w:type="dxa"/>
              <w:left w:w="57" w:type="dxa"/>
              <w:bottom w:w="0" w:type="dxa"/>
              <w:right w:w="57" w:type="dxa"/>
            </w:tcMar>
            <w:vAlign w:val="center"/>
          </w:tcPr>
          <w:p w14:paraId="7D84E091">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07EB7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continue"/>
            <w:noWrap w:val="0"/>
            <w:tcMar>
              <w:top w:w="0" w:type="dxa"/>
              <w:left w:w="57" w:type="dxa"/>
              <w:bottom w:w="0" w:type="dxa"/>
              <w:right w:w="57" w:type="dxa"/>
            </w:tcMar>
            <w:vAlign w:val="center"/>
          </w:tcPr>
          <w:p w14:paraId="21652C21">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58" w:type="pct"/>
            <w:noWrap w:val="0"/>
            <w:tcMar>
              <w:top w:w="0" w:type="dxa"/>
              <w:left w:w="57" w:type="dxa"/>
              <w:bottom w:w="0" w:type="dxa"/>
              <w:right w:w="57" w:type="dxa"/>
            </w:tcMar>
            <w:vAlign w:val="center"/>
          </w:tcPr>
          <w:p w14:paraId="72969A4C">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二类功能区（工业区）/</w:t>
            </w:r>
            <w:r>
              <w:rPr>
                <w:rFonts w:hint="eastAsia" w:cs="Times New Roman"/>
                <w:sz w:val="21"/>
                <w:szCs w:val="21"/>
              </w:rPr>
              <w:t>地表水</w:t>
            </w:r>
            <w:r>
              <w:rPr>
                <w:rFonts w:cs="Times New Roman"/>
                <w:sz w:val="21"/>
                <w:szCs w:val="21"/>
              </w:rPr>
              <w:t>Ⅳ类水体</w:t>
            </w:r>
          </w:p>
        </w:tc>
        <w:tc>
          <w:tcPr>
            <w:tcW w:w="601" w:type="pct"/>
            <w:noWrap w:val="0"/>
            <w:tcMar>
              <w:top w:w="0" w:type="dxa"/>
              <w:left w:w="57" w:type="dxa"/>
              <w:bottom w:w="0" w:type="dxa"/>
              <w:right w:w="57" w:type="dxa"/>
            </w:tcMar>
            <w:vAlign w:val="center"/>
          </w:tcPr>
          <w:p w14:paraId="531959D6">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2</w:t>
            </w:r>
          </w:p>
        </w:tc>
      </w:tr>
      <w:tr w14:paraId="3B00A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continue"/>
            <w:noWrap w:val="0"/>
            <w:tcMar>
              <w:top w:w="0" w:type="dxa"/>
              <w:left w:w="57" w:type="dxa"/>
              <w:bottom w:w="0" w:type="dxa"/>
              <w:right w:w="57" w:type="dxa"/>
            </w:tcMar>
            <w:vAlign w:val="center"/>
          </w:tcPr>
          <w:p w14:paraId="0744B8C5">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58" w:type="pct"/>
            <w:noWrap w:val="0"/>
            <w:tcMar>
              <w:top w:w="0" w:type="dxa"/>
              <w:left w:w="57" w:type="dxa"/>
              <w:bottom w:w="0" w:type="dxa"/>
              <w:right w:w="57" w:type="dxa"/>
            </w:tcMar>
            <w:vAlign w:val="center"/>
          </w:tcPr>
          <w:p w14:paraId="71FF4611">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二类功能区（非工业区）/</w:t>
            </w:r>
            <w:r>
              <w:rPr>
                <w:rFonts w:hint="eastAsia" w:cs="Times New Roman"/>
                <w:sz w:val="21"/>
                <w:szCs w:val="21"/>
              </w:rPr>
              <w:t>地表水</w:t>
            </w:r>
            <w:r>
              <w:rPr>
                <w:rFonts w:cs="Times New Roman"/>
                <w:sz w:val="21"/>
                <w:szCs w:val="21"/>
              </w:rPr>
              <w:t>Ⅲ类水体</w:t>
            </w:r>
          </w:p>
        </w:tc>
        <w:tc>
          <w:tcPr>
            <w:tcW w:w="601" w:type="pct"/>
            <w:noWrap w:val="0"/>
            <w:tcMar>
              <w:top w:w="0" w:type="dxa"/>
              <w:left w:w="57" w:type="dxa"/>
              <w:bottom w:w="0" w:type="dxa"/>
              <w:right w:w="57" w:type="dxa"/>
            </w:tcMar>
            <w:vAlign w:val="center"/>
          </w:tcPr>
          <w:p w14:paraId="39AE37CA">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1E568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continue"/>
            <w:noWrap w:val="0"/>
            <w:tcMar>
              <w:top w:w="0" w:type="dxa"/>
              <w:left w:w="57" w:type="dxa"/>
              <w:bottom w:w="0" w:type="dxa"/>
              <w:right w:w="57" w:type="dxa"/>
            </w:tcMar>
            <w:vAlign w:val="center"/>
          </w:tcPr>
          <w:p w14:paraId="13978E98">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58" w:type="pct"/>
            <w:noWrap w:val="0"/>
            <w:tcMar>
              <w:top w:w="0" w:type="dxa"/>
              <w:left w:w="57" w:type="dxa"/>
              <w:bottom w:w="0" w:type="dxa"/>
              <w:right w:w="57" w:type="dxa"/>
            </w:tcMar>
            <w:vAlign w:val="center"/>
          </w:tcPr>
          <w:p w14:paraId="67D0BC02">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二类功能区（居住区）/</w:t>
            </w:r>
            <w:r>
              <w:rPr>
                <w:rFonts w:hint="eastAsia" w:cs="Times New Roman"/>
                <w:sz w:val="21"/>
                <w:szCs w:val="21"/>
              </w:rPr>
              <w:t>地表水</w:t>
            </w:r>
            <w:r>
              <w:rPr>
                <w:rFonts w:cs="Times New Roman"/>
                <w:sz w:val="21"/>
                <w:szCs w:val="21"/>
              </w:rPr>
              <w:t>I、Ⅱ类水体</w:t>
            </w:r>
          </w:p>
        </w:tc>
        <w:tc>
          <w:tcPr>
            <w:tcW w:w="601" w:type="pct"/>
            <w:noWrap w:val="0"/>
            <w:tcMar>
              <w:top w:w="0" w:type="dxa"/>
              <w:left w:w="57" w:type="dxa"/>
              <w:bottom w:w="0" w:type="dxa"/>
              <w:right w:w="57" w:type="dxa"/>
            </w:tcMar>
            <w:vAlign w:val="center"/>
          </w:tcPr>
          <w:p w14:paraId="042863F4">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pacing w:val="1"/>
                <w:sz w:val="21"/>
                <w:szCs w:val="21"/>
              </w:rPr>
              <w:t>4</w:t>
            </w:r>
          </w:p>
        </w:tc>
      </w:tr>
      <w:tr w14:paraId="0439C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continue"/>
            <w:noWrap w:val="0"/>
            <w:tcMar>
              <w:top w:w="0" w:type="dxa"/>
              <w:left w:w="57" w:type="dxa"/>
              <w:bottom w:w="0" w:type="dxa"/>
              <w:right w:w="57" w:type="dxa"/>
            </w:tcMar>
            <w:vAlign w:val="center"/>
          </w:tcPr>
          <w:p w14:paraId="68A18C0F">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58" w:type="pct"/>
            <w:noWrap w:val="0"/>
            <w:tcMar>
              <w:top w:w="0" w:type="dxa"/>
              <w:left w:w="57" w:type="dxa"/>
              <w:bottom w:w="0" w:type="dxa"/>
              <w:right w:w="57" w:type="dxa"/>
            </w:tcMar>
            <w:vAlign w:val="center"/>
          </w:tcPr>
          <w:p w14:paraId="2563E8EE">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一类功能区/饮用水水源地</w:t>
            </w:r>
          </w:p>
        </w:tc>
        <w:tc>
          <w:tcPr>
            <w:tcW w:w="601" w:type="pct"/>
            <w:noWrap w:val="0"/>
            <w:tcMar>
              <w:top w:w="0" w:type="dxa"/>
              <w:left w:w="57" w:type="dxa"/>
              <w:bottom w:w="0" w:type="dxa"/>
              <w:right w:w="57" w:type="dxa"/>
            </w:tcMar>
            <w:vAlign w:val="center"/>
          </w:tcPr>
          <w:p w14:paraId="599E8520">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2DF3F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restart"/>
            <w:noWrap w:val="0"/>
            <w:tcMar>
              <w:top w:w="0" w:type="dxa"/>
              <w:left w:w="57" w:type="dxa"/>
              <w:bottom w:w="0" w:type="dxa"/>
              <w:right w:w="57" w:type="dxa"/>
            </w:tcMar>
            <w:vAlign w:val="center"/>
          </w:tcPr>
          <w:p w14:paraId="556D5714">
            <w:pPr>
              <w:spacing w:before="20" w:after="20" w:line="300" w:lineRule="auto"/>
              <w:jc w:val="center"/>
              <w:rPr>
                <w:rFonts w:hint="eastAsia" w:ascii="宋体" w:hAnsi="宋体" w:eastAsia="宋体"/>
                <w:sz w:val="21"/>
                <w:szCs w:val="21"/>
              </w:rPr>
            </w:pPr>
            <w:r>
              <w:rPr>
                <w:rFonts w:ascii="Times New Roman" w:hAnsi="Times New Roman" w:eastAsia="宋体"/>
                <w:b/>
                <w:sz w:val="21"/>
              </w:rPr>
              <w:t>违法行为持续时间</w:t>
            </w:r>
          </w:p>
        </w:tc>
        <w:tc>
          <w:tcPr>
            <w:tcW w:w="3758" w:type="pct"/>
            <w:noWrap w:val="0"/>
            <w:tcMar>
              <w:top w:w="0" w:type="dxa"/>
              <w:left w:w="57" w:type="dxa"/>
              <w:bottom w:w="0" w:type="dxa"/>
              <w:right w:w="57" w:type="dxa"/>
            </w:tcMar>
            <w:vAlign w:val="center"/>
          </w:tcPr>
          <w:p w14:paraId="7070CB98">
            <w:pPr>
              <w:autoSpaceDE w:val="0"/>
              <w:autoSpaceDN w:val="0"/>
              <w:spacing w:before="20" w:after="20" w:line="300" w:lineRule="auto"/>
              <w:jc w:val="both"/>
              <w:textAlignment w:val="baseline"/>
              <w:rPr>
                <w:rFonts w:hint="eastAsia" w:ascii="宋体" w:hAnsi="宋体" w:eastAsia="宋体"/>
                <w:sz w:val="21"/>
                <w:szCs w:val="21"/>
              </w:rPr>
            </w:pPr>
            <w:r>
              <w:rPr>
                <w:rFonts w:hint="eastAsia" w:ascii="宋体" w:hAnsi="宋体" w:eastAsia="宋体" w:cs="宋体"/>
                <w:sz w:val="21"/>
                <w:szCs w:val="21"/>
              </w:rPr>
              <w:t>不足</w:t>
            </w:r>
            <w:r>
              <w:rPr>
                <w:rFonts w:hint="eastAsia" w:ascii="宋体" w:hAnsi="宋体" w:eastAsia="宋体"/>
                <w:spacing w:val="7"/>
                <w:sz w:val="21"/>
                <w:szCs w:val="21"/>
              </w:rPr>
              <w:t>1</w:t>
            </w:r>
            <w:r>
              <w:rPr>
                <w:rFonts w:ascii="宋体" w:hAnsi="宋体" w:eastAsia="宋体"/>
                <w:spacing w:val="7"/>
                <w:sz w:val="21"/>
                <w:szCs w:val="21"/>
              </w:rPr>
              <w:t>个月</w:t>
            </w:r>
          </w:p>
        </w:tc>
        <w:tc>
          <w:tcPr>
            <w:tcW w:w="601" w:type="pct"/>
            <w:noWrap w:val="0"/>
            <w:tcMar>
              <w:top w:w="0" w:type="dxa"/>
              <w:left w:w="57" w:type="dxa"/>
              <w:bottom w:w="0" w:type="dxa"/>
              <w:right w:w="57" w:type="dxa"/>
            </w:tcMar>
            <w:vAlign w:val="center"/>
          </w:tcPr>
          <w:p w14:paraId="66122AE1">
            <w:pPr>
              <w:autoSpaceDE w:val="0"/>
              <w:autoSpaceDN w:val="0"/>
              <w:spacing w:before="20" w:after="20" w:line="300" w:lineRule="auto"/>
              <w:jc w:val="center"/>
              <w:textAlignment w:val="baseline"/>
              <w:rPr>
                <w:rFonts w:hint="eastAsia" w:ascii="宋体" w:hAnsi="宋体" w:eastAsia="宋体"/>
                <w:sz w:val="21"/>
                <w:szCs w:val="21"/>
              </w:rPr>
            </w:pPr>
            <w:r>
              <w:rPr>
                <w:rFonts w:ascii="宋体" w:hAnsi="宋体" w:eastAsia="宋体"/>
                <w:spacing w:val="7"/>
                <w:sz w:val="21"/>
                <w:szCs w:val="21"/>
              </w:rPr>
              <w:t>1</w:t>
            </w:r>
          </w:p>
        </w:tc>
      </w:tr>
      <w:tr w14:paraId="4E704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continue"/>
            <w:noWrap w:val="0"/>
            <w:tcMar>
              <w:top w:w="0" w:type="dxa"/>
              <w:left w:w="57" w:type="dxa"/>
              <w:bottom w:w="0" w:type="dxa"/>
              <w:right w:w="57" w:type="dxa"/>
            </w:tcMar>
            <w:vAlign w:val="center"/>
          </w:tcPr>
          <w:p w14:paraId="76B90CB8">
            <w:pPr>
              <w:autoSpaceDE w:val="0"/>
              <w:autoSpaceDN w:val="0"/>
              <w:spacing w:before="20" w:after="20" w:line="300" w:lineRule="auto"/>
              <w:jc w:val="center"/>
              <w:textAlignment w:val="baseline"/>
              <w:rPr>
                <w:rFonts w:hint="eastAsia" w:ascii="宋体" w:hAnsi="宋体" w:eastAsia="宋体"/>
                <w:sz w:val="21"/>
                <w:szCs w:val="21"/>
              </w:rPr>
            </w:pPr>
          </w:p>
        </w:tc>
        <w:tc>
          <w:tcPr>
            <w:tcW w:w="3758" w:type="pct"/>
            <w:noWrap w:val="0"/>
            <w:tcMar>
              <w:top w:w="0" w:type="dxa"/>
              <w:left w:w="57" w:type="dxa"/>
              <w:bottom w:w="0" w:type="dxa"/>
              <w:right w:w="57" w:type="dxa"/>
            </w:tcMar>
            <w:vAlign w:val="center"/>
          </w:tcPr>
          <w:p w14:paraId="0C23FAFF">
            <w:pPr>
              <w:autoSpaceDE w:val="0"/>
              <w:autoSpaceDN w:val="0"/>
              <w:spacing w:before="20" w:after="20" w:line="300" w:lineRule="auto"/>
              <w:jc w:val="both"/>
              <w:textAlignment w:val="baseline"/>
              <w:rPr>
                <w:rFonts w:hint="eastAsia" w:ascii="宋体" w:hAnsi="宋体" w:eastAsia="宋体"/>
                <w:sz w:val="21"/>
                <w:szCs w:val="21"/>
              </w:rPr>
            </w:pPr>
            <w:r>
              <w:rPr>
                <w:rFonts w:hint="eastAsia" w:ascii="宋体" w:hAnsi="宋体" w:eastAsia="宋体"/>
                <w:spacing w:val="7"/>
                <w:sz w:val="21"/>
                <w:szCs w:val="21"/>
              </w:rPr>
              <w:t>1</w:t>
            </w:r>
            <w:r>
              <w:rPr>
                <w:rFonts w:ascii="宋体" w:hAnsi="宋体" w:eastAsia="宋体"/>
                <w:spacing w:val="7"/>
                <w:sz w:val="21"/>
                <w:szCs w:val="21"/>
              </w:rPr>
              <w:t>个月以上</w:t>
            </w:r>
            <w:r>
              <w:rPr>
                <w:rFonts w:hint="eastAsia" w:ascii="宋体" w:hAnsi="宋体" w:eastAsia="宋体"/>
                <w:spacing w:val="7"/>
                <w:sz w:val="21"/>
                <w:szCs w:val="21"/>
              </w:rPr>
              <w:t>不足3</w:t>
            </w:r>
            <w:r>
              <w:rPr>
                <w:rFonts w:ascii="宋体" w:hAnsi="宋体" w:eastAsia="宋体"/>
                <w:spacing w:val="7"/>
                <w:sz w:val="21"/>
                <w:szCs w:val="21"/>
              </w:rPr>
              <w:t>个月</w:t>
            </w:r>
          </w:p>
        </w:tc>
        <w:tc>
          <w:tcPr>
            <w:tcW w:w="601" w:type="pct"/>
            <w:noWrap w:val="0"/>
            <w:tcMar>
              <w:top w:w="0" w:type="dxa"/>
              <w:left w:w="57" w:type="dxa"/>
              <w:bottom w:w="0" w:type="dxa"/>
              <w:right w:w="57" w:type="dxa"/>
            </w:tcMar>
            <w:vAlign w:val="center"/>
          </w:tcPr>
          <w:p w14:paraId="579406C9">
            <w:pPr>
              <w:autoSpaceDE w:val="0"/>
              <w:autoSpaceDN w:val="0"/>
              <w:spacing w:before="20" w:after="20" w:line="300" w:lineRule="auto"/>
              <w:jc w:val="center"/>
              <w:textAlignment w:val="baseline"/>
              <w:rPr>
                <w:rFonts w:hint="eastAsia" w:ascii="宋体" w:hAnsi="宋体" w:eastAsia="宋体"/>
                <w:sz w:val="21"/>
                <w:szCs w:val="21"/>
              </w:rPr>
            </w:pPr>
            <w:r>
              <w:rPr>
                <w:rFonts w:ascii="宋体" w:hAnsi="宋体" w:eastAsia="宋体"/>
                <w:spacing w:val="7"/>
                <w:sz w:val="21"/>
                <w:szCs w:val="21"/>
              </w:rPr>
              <w:t>2</w:t>
            </w:r>
          </w:p>
        </w:tc>
      </w:tr>
      <w:tr w14:paraId="7372C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continue"/>
            <w:noWrap w:val="0"/>
            <w:tcMar>
              <w:top w:w="0" w:type="dxa"/>
              <w:left w:w="57" w:type="dxa"/>
              <w:bottom w:w="0" w:type="dxa"/>
              <w:right w:w="57" w:type="dxa"/>
            </w:tcMar>
            <w:vAlign w:val="center"/>
          </w:tcPr>
          <w:p w14:paraId="583C027A">
            <w:pPr>
              <w:autoSpaceDE w:val="0"/>
              <w:autoSpaceDN w:val="0"/>
              <w:spacing w:before="20" w:after="20" w:line="300" w:lineRule="auto"/>
              <w:jc w:val="center"/>
              <w:textAlignment w:val="baseline"/>
              <w:rPr>
                <w:rFonts w:hint="eastAsia" w:ascii="宋体" w:hAnsi="宋体" w:eastAsia="宋体"/>
                <w:sz w:val="21"/>
                <w:szCs w:val="21"/>
              </w:rPr>
            </w:pPr>
          </w:p>
        </w:tc>
        <w:tc>
          <w:tcPr>
            <w:tcW w:w="3758" w:type="pct"/>
            <w:noWrap w:val="0"/>
            <w:tcMar>
              <w:top w:w="0" w:type="dxa"/>
              <w:left w:w="57" w:type="dxa"/>
              <w:bottom w:w="0" w:type="dxa"/>
              <w:right w:w="57" w:type="dxa"/>
            </w:tcMar>
            <w:vAlign w:val="center"/>
          </w:tcPr>
          <w:p w14:paraId="0AF16035">
            <w:pPr>
              <w:autoSpaceDE w:val="0"/>
              <w:autoSpaceDN w:val="0"/>
              <w:spacing w:before="20" w:after="20" w:line="300" w:lineRule="auto"/>
              <w:jc w:val="both"/>
              <w:textAlignment w:val="baseline"/>
              <w:rPr>
                <w:rFonts w:hint="eastAsia" w:ascii="宋体" w:hAnsi="宋体" w:eastAsia="宋体"/>
                <w:sz w:val="21"/>
                <w:szCs w:val="21"/>
              </w:rPr>
            </w:pPr>
            <w:r>
              <w:rPr>
                <w:rFonts w:hint="eastAsia" w:ascii="宋体" w:hAnsi="宋体" w:eastAsia="宋体"/>
                <w:spacing w:val="7"/>
                <w:sz w:val="21"/>
                <w:szCs w:val="21"/>
              </w:rPr>
              <w:t>3</w:t>
            </w:r>
            <w:r>
              <w:rPr>
                <w:rFonts w:ascii="宋体" w:hAnsi="宋体" w:eastAsia="宋体"/>
                <w:spacing w:val="7"/>
                <w:sz w:val="21"/>
                <w:szCs w:val="21"/>
              </w:rPr>
              <w:t>个月以上</w:t>
            </w:r>
            <w:r>
              <w:rPr>
                <w:rFonts w:hint="eastAsia" w:ascii="宋体" w:hAnsi="宋体" w:eastAsia="宋体"/>
                <w:spacing w:val="7"/>
                <w:sz w:val="21"/>
                <w:szCs w:val="21"/>
              </w:rPr>
              <w:t>不足6个月</w:t>
            </w:r>
          </w:p>
        </w:tc>
        <w:tc>
          <w:tcPr>
            <w:tcW w:w="601" w:type="pct"/>
            <w:noWrap w:val="0"/>
            <w:tcMar>
              <w:top w:w="0" w:type="dxa"/>
              <w:left w:w="57" w:type="dxa"/>
              <w:bottom w:w="0" w:type="dxa"/>
              <w:right w:w="57" w:type="dxa"/>
            </w:tcMar>
            <w:vAlign w:val="center"/>
          </w:tcPr>
          <w:p w14:paraId="614E80AF">
            <w:pPr>
              <w:autoSpaceDE w:val="0"/>
              <w:autoSpaceDN w:val="0"/>
              <w:spacing w:before="20" w:after="20" w:line="300" w:lineRule="auto"/>
              <w:jc w:val="center"/>
              <w:textAlignment w:val="baseline"/>
              <w:rPr>
                <w:rFonts w:hint="eastAsia" w:ascii="宋体" w:hAnsi="宋体" w:eastAsia="宋体"/>
                <w:sz w:val="21"/>
                <w:szCs w:val="21"/>
              </w:rPr>
            </w:pPr>
            <w:r>
              <w:rPr>
                <w:rFonts w:ascii="宋体" w:hAnsi="宋体" w:eastAsia="宋体"/>
                <w:spacing w:val="7"/>
                <w:sz w:val="21"/>
                <w:szCs w:val="21"/>
              </w:rPr>
              <w:t>3</w:t>
            </w:r>
          </w:p>
        </w:tc>
      </w:tr>
      <w:tr w14:paraId="2E421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continue"/>
            <w:noWrap w:val="0"/>
            <w:tcMar>
              <w:top w:w="0" w:type="dxa"/>
              <w:left w:w="57" w:type="dxa"/>
              <w:bottom w:w="0" w:type="dxa"/>
              <w:right w:w="57" w:type="dxa"/>
            </w:tcMar>
            <w:vAlign w:val="center"/>
          </w:tcPr>
          <w:p w14:paraId="4315C26E">
            <w:pPr>
              <w:autoSpaceDE w:val="0"/>
              <w:autoSpaceDN w:val="0"/>
              <w:spacing w:before="20" w:after="20" w:line="300" w:lineRule="auto"/>
              <w:jc w:val="center"/>
              <w:textAlignment w:val="baseline"/>
              <w:rPr>
                <w:rFonts w:hint="eastAsia" w:ascii="宋体" w:hAnsi="宋体" w:eastAsia="宋体"/>
                <w:sz w:val="21"/>
                <w:szCs w:val="21"/>
              </w:rPr>
            </w:pPr>
          </w:p>
        </w:tc>
        <w:tc>
          <w:tcPr>
            <w:tcW w:w="3758" w:type="pct"/>
            <w:noWrap w:val="0"/>
            <w:tcMar>
              <w:top w:w="0" w:type="dxa"/>
              <w:left w:w="57" w:type="dxa"/>
              <w:bottom w:w="0" w:type="dxa"/>
              <w:right w:w="57" w:type="dxa"/>
            </w:tcMar>
            <w:vAlign w:val="center"/>
          </w:tcPr>
          <w:p w14:paraId="2F5E6B7D">
            <w:pPr>
              <w:autoSpaceDE w:val="0"/>
              <w:autoSpaceDN w:val="0"/>
              <w:spacing w:before="20" w:after="20" w:line="300" w:lineRule="auto"/>
              <w:jc w:val="both"/>
              <w:textAlignment w:val="baseline"/>
              <w:rPr>
                <w:rFonts w:hint="eastAsia" w:ascii="宋体" w:hAnsi="宋体" w:eastAsia="宋体"/>
                <w:sz w:val="21"/>
                <w:szCs w:val="21"/>
              </w:rPr>
            </w:pPr>
            <w:r>
              <w:rPr>
                <w:rFonts w:hint="eastAsia" w:ascii="宋体" w:hAnsi="宋体" w:eastAsia="宋体"/>
                <w:spacing w:val="7"/>
                <w:sz w:val="21"/>
                <w:szCs w:val="21"/>
              </w:rPr>
              <w:t>6个月</w:t>
            </w:r>
            <w:r>
              <w:rPr>
                <w:rFonts w:ascii="宋体" w:hAnsi="宋体" w:eastAsia="宋体"/>
                <w:spacing w:val="7"/>
                <w:sz w:val="21"/>
                <w:szCs w:val="21"/>
              </w:rPr>
              <w:t>以上</w:t>
            </w:r>
            <w:r>
              <w:rPr>
                <w:rFonts w:hint="eastAsia" w:ascii="宋体" w:hAnsi="宋体" w:eastAsia="宋体"/>
                <w:spacing w:val="7"/>
                <w:sz w:val="21"/>
                <w:szCs w:val="21"/>
              </w:rPr>
              <w:t>不足1</w:t>
            </w:r>
            <w:r>
              <w:rPr>
                <w:rFonts w:ascii="宋体" w:hAnsi="宋体" w:eastAsia="宋体"/>
                <w:spacing w:val="7"/>
                <w:sz w:val="21"/>
                <w:szCs w:val="21"/>
              </w:rPr>
              <w:t>年</w:t>
            </w:r>
          </w:p>
        </w:tc>
        <w:tc>
          <w:tcPr>
            <w:tcW w:w="601" w:type="pct"/>
            <w:noWrap w:val="0"/>
            <w:tcMar>
              <w:top w:w="0" w:type="dxa"/>
              <w:left w:w="57" w:type="dxa"/>
              <w:bottom w:w="0" w:type="dxa"/>
              <w:right w:w="57" w:type="dxa"/>
            </w:tcMar>
            <w:vAlign w:val="center"/>
          </w:tcPr>
          <w:p w14:paraId="2C9FA4B3">
            <w:pPr>
              <w:autoSpaceDE w:val="0"/>
              <w:autoSpaceDN w:val="0"/>
              <w:spacing w:before="20" w:after="20" w:line="300" w:lineRule="auto"/>
              <w:jc w:val="center"/>
              <w:textAlignment w:val="baseline"/>
              <w:rPr>
                <w:rFonts w:hint="eastAsia" w:ascii="宋体" w:hAnsi="宋体" w:eastAsia="宋体"/>
                <w:sz w:val="21"/>
                <w:szCs w:val="21"/>
              </w:rPr>
            </w:pPr>
            <w:r>
              <w:rPr>
                <w:rFonts w:ascii="宋体" w:hAnsi="宋体" w:eastAsia="宋体"/>
                <w:spacing w:val="7"/>
                <w:sz w:val="21"/>
                <w:szCs w:val="21"/>
              </w:rPr>
              <w:t>4</w:t>
            </w:r>
          </w:p>
        </w:tc>
      </w:tr>
      <w:tr w14:paraId="41207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continue"/>
            <w:noWrap w:val="0"/>
            <w:tcMar>
              <w:top w:w="0" w:type="dxa"/>
              <w:left w:w="57" w:type="dxa"/>
              <w:bottom w:w="0" w:type="dxa"/>
              <w:right w:w="57" w:type="dxa"/>
            </w:tcMar>
            <w:vAlign w:val="center"/>
          </w:tcPr>
          <w:p w14:paraId="0B726104">
            <w:pPr>
              <w:autoSpaceDE w:val="0"/>
              <w:autoSpaceDN w:val="0"/>
              <w:spacing w:before="20" w:after="20" w:line="300" w:lineRule="auto"/>
              <w:jc w:val="center"/>
              <w:textAlignment w:val="baseline"/>
              <w:rPr>
                <w:rFonts w:hint="eastAsia" w:ascii="宋体" w:hAnsi="宋体" w:eastAsia="宋体"/>
                <w:sz w:val="21"/>
                <w:szCs w:val="21"/>
              </w:rPr>
            </w:pPr>
          </w:p>
        </w:tc>
        <w:tc>
          <w:tcPr>
            <w:tcW w:w="3758" w:type="pct"/>
            <w:noWrap w:val="0"/>
            <w:tcMar>
              <w:top w:w="0" w:type="dxa"/>
              <w:left w:w="57" w:type="dxa"/>
              <w:bottom w:w="0" w:type="dxa"/>
              <w:right w:w="57" w:type="dxa"/>
            </w:tcMar>
            <w:vAlign w:val="center"/>
          </w:tcPr>
          <w:p w14:paraId="63968F83">
            <w:pPr>
              <w:autoSpaceDE w:val="0"/>
              <w:autoSpaceDN w:val="0"/>
              <w:spacing w:before="20" w:after="20" w:line="300" w:lineRule="auto"/>
              <w:jc w:val="both"/>
              <w:textAlignment w:val="baseline"/>
              <w:rPr>
                <w:rFonts w:hint="eastAsia" w:ascii="宋体" w:hAnsi="宋体" w:eastAsia="宋体"/>
                <w:sz w:val="21"/>
                <w:szCs w:val="21"/>
              </w:rPr>
            </w:pPr>
            <w:r>
              <w:rPr>
                <w:rFonts w:hint="eastAsia" w:ascii="宋体" w:hAnsi="宋体" w:eastAsia="宋体"/>
                <w:spacing w:val="7"/>
                <w:sz w:val="21"/>
                <w:szCs w:val="21"/>
              </w:rPr>
              <w:t>1</w:t>
            </w:r>
            <w:r>
              <w:rPr>
                <w:rFonts w:ascii="宋体" w:hAnsi="宋体" w:eastAsia="宋体"/>
                <w:spacing w:val="7"/>
                <w:sz w:val="21"/>
                <w:szCs w:val="21"/>
              </w:rPr>
              <w:t>年以上</w:t>
            </w:r>
          </w:p>
        </w:tc>
        <w:tc>
          <w:tcPr>
            <w:tcW w:w="601" w:type="pct"/>
            <w:noWrap w:val="0"/>
            <w:tcMar>
              <w:top w:w="0" w:type="dxa"/>
              <w:left w:w="57" w:type="dxa"/>
              <w:bottom w:w="0" w:type="dxa"/>
              <w:right w:w="57" w:type="dxa"/>
            </w:tcMar>
            <w:vAlign w:val="center"/>
          </w:tcPr>
          <w:p w14:paraId="14F80740">
            <w:pPr>
              <w:autoSpaceDE w:val="0"/>
              <w:autoSpaceDN w:val="0"/>
              <w:spacing w:before="20" w:after="20" w:line="300" w:lineRule="auto"/>
              <w:jc w:val="center"/>
              <w:textAlignment w:val="baseline"/>
              <w:rPr>
                <w:rFonts w:hint="eastAsia" w:ascii="宋体" w:hAnsi="宋体" w:eastAsia="宋体"/>
                <w:sz w:val="21"/>
                <w:szCs w:val="21"/>
              </w:rPr>
            </w:pPr>
            <w:r>
              <w:rPr>
                <w:rFonts w:ascii="宋体" w:hAnsi="宋体" w:eastAsia="宋体"/>
                <w:spacing w:val="7"/>
                <w:sz w:val="21"/>
                <w:szCs w:val="21"/>
              </w:rPr>
              <w:t>5</w:t>
            </w:r>
          </w:p>
        </w:tc>
      </w:tr>
    </w:tbl>
    <w:p w14:paraId="127BC402">
      <w:pPr>
        <w:spacing w:before="40" w:after="40" w:line="400" w:lineRule="auto"/>
        <w:jc w:val="both"/>
        <w:rPr>
          <w:rFonts w:hint="eastAsia" w:ascii="Times New Roman" w:hAnsi="Times New Roman" w:eastAsia="黑体"/>
          <w:b/>
          <w:sz w:val="24"/>
          <w:lang w:eastAsia="zh-CN"/>
        </w:rPr>
      </w:pPr>
      <w:r>
        <w:rPr>
          <w:rFonts w:hint="eastAsia" w:ascii="Times New Roman" w:hAnsi="Times New Roman" w:eastAsia="黑体"/>
          <w:b/>
          <w:sz w:val="24"/>
        </w:rPr>
        <w:t>2.生态环境</w:t>
      </w:r>
      <w:r>
        <w:rPr>
          <w:rFonts w:ascii="Times New Roman" w:hAnsi="Times New Roman" w:eastAsia="黑体"/>
          <w:b/>
          <w:sz w:val="24"/>
        </w:rPr>
        <w:t>技术服务机构未按照规定保存其开展业务的相关数据、报告、记录、委托合同等材料的行为</w:t>
      </w:r>
      <w:r>
        <w:rPr>
          <w:rFonts w:hint="eastAsia" w:ascii="Times New Roman" w:hAnsi="Times New Roman" w:eastAsia="黑体"/>
          <w:b/>
          <w:sz w:val="24"/>
          <w:lang w:eastAsia="zh-CN"/>
        </w:rPr>
        <w:t>（新增）</w:t>
      </w:r>
    </w:p>
    <w:tbl>
      <w:tblPr>
        <w:tblStyle w:val="8"/>
        <w:tblW w:w="9026"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200"/>
        <w:gridCol w:w="6738"/>
        <w:gridCol w:w="1088"/>
      </w:tblGrid>
      <w:tr w14:paraId="7627B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noWrap w:val="0"/>
            <w:vAlign w:val="center"/>
          </w:tcPr>
          <w:p w14:paraId="2E2DA0AA">
            <w:pPr>
              <w:spacing w:before="20" w:after="20" w:line="300" w:lineRule="auto"/>
              <w:jc w:val="center"/>
              <w:rPr>
                <w:rFonts w:hint="eastAsia"/>
                <w:b/>
                <w:bCs w:val="0"/>
              </w:rPr>
            </w:pPr>
            <w:r>
              <w:rPr>
                <w:rFonts w:ascii="Times New Roman" w:hAnsi="Times New Roman" w:eastAsia="宋体"/>
                <w:b/>
                <w:bCs w:val="0"/>
                <w:sz w:val="21"/>
              </w:rPr>
              <w:t>违反条款</w:t>
            </w:r>
          </w:p>
        </w:tc>
        <w:tc>
          <w:tcPr>
            <w:tcW w:w="7826" w:type="dxa"/>
            <w:gridSpan w:val="2"/>
            <w:noWrap w:val="0"/>
            <w:vAlign w:val="center"/>
          </w:tcPr>
          <w:p w14:paraId="1E6C79B1">
            <w:pPr>
              <w:spacing w:before="20" w:after="20" w:line="300" w:lineRule="auto"/>
              <w:rPr>
                <w:rFonts w:hint="eastAsia"/>
                <w:b/>
                <w:bCs w:val="0"/>
              </w:rPr>
            </w:pPr>
            <w:r>
              <w:rPr>
                <w:rFonts w:ascii="Times New Roman" w:hAnsi="Times New Roman" w:eastAsia="宋体"/>
                <w:b/>
                <w:bCs w:val="0"/>
                <w:sz w:val="21"/>
              </w:rPr>
              <w:t>《生态环境监测条例》（2026修订版）第三十三条</w:t>
            </w:r>
            <w:r>
              <w:rPr>
                <w:rFonts w:hint="eastAsia" w:ascii="Times New Roman" w:hAnsi="Times New Roman" w:eastAsia="宋体"/>
                <w:b/>
                <w:bCs w:val="0"/>
                <w:sz w:val="21"/>
              </w:rPr>
              <w:t xml:space="preserve"> </w:t>
            </w:r>
            <w:r>
              <w:rPr>
                <w:rFonts w:ascii="Times New Roman" w:hAnsi="Times New Roman" w:eastAsia="宋体"/>
                <w:b/>
                <w:bCs w:val="0"/>
                <w:sz w:val="21"/>
              </w:rPr>
              <w:t>接受委托开展监测服务的技术服务机构应当按照规定保存其开展业务的相关数据、报告、记录以及委托合同等材料，保证业务活动全过程可追溯。</w:t>
            </w:r>
          </w:p>
        </w:tc>
      </w:tr>
      <w:tr w14:paraId="5466A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noWrap w:val="0"/>
            <w:vAlign w:val="center"/>
          </w:tcPr>
          <w:p w14:paraId="6514016B">
            <w:pPr>
              <w:spacing w:before="20" w:after="20" w:line="300" w:lineRule="auto"/>
              <w:jc w:val="center"/>
              <w:rPr>
                <w:rFonts w:hint="eastAsia"/>
                <w:b/>
                <w:bCs w:val="0"/>
              </w:rPr>
            </w:pPr>
            <w:r>
              <w:rPr>
                <w:rFonts w:ascii="Times New Roman" w:hAnsi="Times New Roman" w:eastAsia="宋体"/>
                <w:b/>
                <w:bCs w:val="0"/>
                <w:sz w:val="21"/>
              </w:rPr>
              <w:t>处罚依据</w:t>
            </w:r>
          </w:p>
        </w:tc>
        <w:tc>
          <w:tcPr>
            <w:tcW w:w="7826" w:type="dxa"/>
            <w:gridSpan w:val="2"/>
            <w:noWrap w:val="0"/>
            <w:vAlign w:val="center"/>
          </w:tcPr>
          <w:p w14:paraId="3B0D6EB4">
            <w:pPr>
              <w:spacing w:before="20" w:after="20" w:line="300" w:lineRule="auto"/>
              <w:rPr>
                <w:rFonts w:hint="eastAsia"/>
                <w:b/>
                <w:bCs w:val="0"/>
              </w:rPr>
            </w:pPr>
            <w:r>
              <w:rPr>
                <w:rFonts w:ascii="Times New Roman" w:hAnsi="Times New Roman" w:eastAsia="宋体"/>
                <w:b/>
                <w:bCs w:val="0"/>
                <w:sz w:val="21"/>
              </w:rPr>
              <w:t>《生态环境监测条例》（2026修订版）第四十三条第七项</w:t>
            </w:r>
            <w:r>
              <w:rPr>
                <w:rFonts w:hint="eastAsia" w:ascii="Times New Roman" w:hAnsi="Times New Roman" w:eastAsia="宋体"/>
                <w:b/>
                <w:bCs w:val="0"/>
                <w:sz w:val="21"/>
              </w:rPr>
              <w:t xml:space="preserve"> </w:t>
            </w:r>
            <w:r>
              <w:rPr>
                <w:rFonts w:ascii="Times New Roman" w:hAnsi="Times New Roman" w:eastAsia="宋体"/>
                <w:b/>
                <w:bCs w:val="0"/>
                <w:sz w:val="21"/>
              </w:rPr>
              <w:t>技术服务机构有下列情形之一的，由生态环境主管部门责令改正，处2万元以上20万元以下的罚款；有违法所得的，没收违法所得；拒不改正的，报经有批准权的人民政府批准，责令停业、关闭：（七）未按照规定保存其开展业务的相关数据、报告、记录、委托合同等材料。</w:t>
            </w:r>
          </w:p>
        </w:tc>
      </w:tr>
      <w:tr w14:paraId="77D6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noWrap w:val="0"/>
            <w:vAlign w:val="center"/>
          </w:tcPr>
          <w:p w14:paraId="326616C1">
            <w:pPr>
              <w:spacing w:before="20" w:after="20" w:line="300" w:lineRule="auto"/>
              <w:jc w:val="center"/>
              <w:rPr>
                <w:rFonts w:hint="eastAsia"/>
                <w:b/>
                <w:bCs w:val="0"/>
              </w:rPr>
            </w:pPr>
            <w:r>
              <w:rPr>
                <w:rFonts w:ascii="Times New Roman" w:hAnsi="Times New Roman" w:eastAsia="宋体"/>
                <w:b/>
                <w:bCs w:val="0"/>
                <w:sz w:val="21"/>
              </w:rPr>
              <w:t>裁量因素</w:t>
            </w:r>
          </w:p>
        </w:tc>
        <w:tc>
          <w:tcPr>
            <w:tcW w:w="6738" w:type="dxa"/>
            <w:noWrap w:val="0"/>
            <w:vAlign w:val="center"/>
          </w:tcPr>
          <w:p w14:paraId="79A10C7D">
            <w:pPr>
              <w:spacing w:before="20" w:after="20" w:line="300" w:lineRule="auto"/>
              <w:jc w:val="center"/>
              <w:rPr>
                <w:rFonts w:hint="eastAsia"/>
                <w:b/>
                <w:bCs w:val="0"/>
              </w:rPr>
            </w:pPr>
            <w:r>
              <w:rPr>
                <w:rFonts w:ascii="Times New Roman" w:hAnsi="Times New Roman" w:eastAsia="宋体"/>
                <w:b/>
                <w:bCs w:val="0"/>
                <w:sz w:val="21"/>
              </w:rPr>
              <w:t>裁量因子</w:t>
            </w:r>
          </w:p>
        </w:tc>
        <w:tc>
          <w:tcPr>
            <w:tcW w:w="1088" w:type="dxa"/>
            <w:noWrap w:val="0"/>
            <w:vAlign w:val="center"/>
          </w:tcPr>
          <w:p w14:paraId="4DBD9CD6">
            <w:pPr>
              <w:spacing w:before="20" w:after="20" w:line="300" w:lineRule="auto"/>
              <w:jc w:val="center"/>
              <w:rPr>
                <w:rFonts w:hint="eastAsia"/>
                <w:b/>
                <w:bCs w:val="0"/>
              </w:rPr>
            </w:pPr>
            <w:r>
              <w:rPr>
                <w:rFonts w:ascii="Times New Roman" w:hAnsi="Times New Roman" w:eastAsia="宋体"/>
                <w:b/>
                <w:bCs w:val="0"/>
                <w:sz w:val="21"/>
              </w:rPr>
              <w:t>裁量等级</w:t>
            </w:r>
          </w:p>
        </w:tc>
      </w:tr>
      <w:tr w14:paraId="297A7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restart"/>
            <w:noWrap w:val="0"/>
            <w:vAlign w:val="center"/>
          </w:tcPr>
          <w:p w14:paraId="1E0D98B0">
            <w:pPr>
              <w:spacing w:before="20" w:after="20" w:line="300" w:lineRule="auto"/>
              <w:jc w:val="center"/>
              <w:rPr>
                <w:rFonts w:hint="eastAsia"/>
                <w:b/>
                <w:bCs w:val="0"/>
              </w:rPr>
            </w:pPr>
            <w:r>
              <w:rPr>
                <w:rFonts w:ascii="Times New Roman" w:hAnsi="Times New Roman" w:eastAsia="宋体"/>
                <w:b/>
                <w:bCs w:val="0"/>
                <w:sz w:val="21"/>
              </w:rPr>
              <w:t>保存情况</w:t>
            </w:r>
          </w:p>
        </w:tc>
        <w:tc>
          <w:tcPr>
            <w:tcW w:w="6738" w:type="dxa"/>
            <w:noWrap w:val="0"/>
            <w:vAlign w:val="center"/>
          </w:tcPr>
          <w:p w14:paraId="28934283">
            <w:pPr>
              <w:spacing w:before="20" w:after="20" w:line="300" w:lineRule="auto"/>
              <w:rPr>
                <w:rFonts w:hint="eastAsia"/>
                <w:b/>
                <w:bCs w:val="0"/>
              </w:rPr>
            </w:pPr>
            <w:r>
              <w:rPr>
                <w:rFonts w:ascii="Times New Roman" w:hAnsi="Times New Roman" w:eastAsia="宋体"/>
                <w:b/>
                <w:bCs w:val="0"/>
                <w:sz w:val="21"/>
              </w:rPr>
              <w:t>已保存相关材料，但保存不完整或保存期限不足</w:t>
            </w:r>
          </w:p>
        </w:tc>
        <w:tc>
          <w:tcPr>
            <w:tcW w:w="1088" w:type="dxa"/>
            <w:noWrap w:val="0"/>
            <w:vAlign w:val="center"/>
          </w:tcPr>
          <w:p w14:paraId="01C44B95">
            <w:pPr>
              <w:spacing w:before="20" w:after="20" w:line="300" w:lineRule="auto"/>
              <w:jc w:val="center"/>
              <w:rPr>
                <w:rFonts w:hint="eastAsia"/>
                <w:b/>
                <w:bCs w:val="0"/>
              </w:rPr>
            </w:pPr>
            <w:r>
              <w:rPr>
                <w:rFonts w:ascii="Times New Roman" w:hAnsi="Times New Roman" w:eastAsia="宋体"/>
                <w:b/>
                <w:bCs w:val="0"/>
                <w:sz w:val="21"/>
              </w:rPr>
              <w:t>1</w:t>
            </w:r>
          </w:p>
        </w:tc>
      </w:tr>
      <w:tr w14:paraId="1B6BD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681E7436">
            <w:pPr>
              <w:spacing w:before="20" w:after="20" w:line="300" w:lineRule="auto"/>
              <w:jc w:val="center"/>
              <w:rPr>
                <w:rFonts w:hint="eastAsia"/>
                <w:b/>
                <w:bCs w:val="0"/>
              </w:rPr>
            </w:pPr>
          </w:p>
        </w:tc>
        <w:tc>
          <w:tcPr>
            <w:tcW w:w="6738" w:type="dxa"/>
            <w:noWrap w:val="0"/>
            <w:vAlign w:val="center"/>
          </w:tcPr>
          <w:p w14:paraId="4023867C">
            <w:pPr>
              <w:spacing w:before="20" w:after="20" w:line="300" w:lineRule="auto"/>
              <w:rPr>
                <w:rFonts w:hint="eastAsia"/>
                <w:b/>
                <w:bCs w:val="0"/>
              </w:rPr>
            </w:pPr>
            <w:r>
              <w:rPr>
                <w:rFonts w:ascii="Times New Roman" w:hAnsi="Times New Roman" w:eastAsia="宋体"/>
                <w:b/>
                <w:bCs w:val="0"/>
                <w:sz w:val="21"/>
              </w:rPr>
              <w:t>部分业务未保存相关材料</w:t>
            </w:r>
          </w:p>
        </w:tc>
        <w:tc>
          <w:tcPr>
            <w:tcW w:w="1088" w:type="dxa"/>
            <w:noWrap w:val="0"/>
            <w:vAlign w:val="center"/>
          </w:tcPr>
          <w:p w14:paraId="4579DD58">
            <w:pPr>
              <w:spacing w:before="20" w:after="20" w:line="300" w:lineRule="auto"/>
              <w:jc w:val="center"/>
              <w:rPr>
                <w:rFonts w:hint="eastAsia"/>
                <w:b/>
                <w:bCs w:val="0"/>
              </w:rPr>
            </w:pPr>
            <w:r>
              <w:rPr>
                <w:rFonts w:ascii="Times New Roman" w:hAnsi="Times New Roman" w:eastAsia="宋体"/>
                <w:b/>
                <w:bCs w:val="0"/>
                <w:sz w:val="21"/>
              </w:rPr>
              <w:t>3</w:t>
            </w:r>
          </w:p>
        </w:tc>
      </w:tr>
      <w:tr w14:paraId="02550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764A43B2">
            <w:pPr>
              <w:spacing w:before="20" w:after="20" w:line="300" w:lineRule="auto"/>
              <w:jc w:val="center"/>
              <w:rPr>
                <w:rFonts w:hint="eastAsia"/>
                <w:b/>
                <w:bCs w:val="0"/>
              </w:rPr>
            </w:pPr>
          </w:p>
        </w:tc>
        <w:tc>
          <w:tcPr>
            <w:tcW w:w="6738" w:type="dxa"/>
            <w:noWrap w:val="0"/>
            <w:vAlign w:val="center"/>
          </w:tcPr>
          <w:p w14:paraId="216C5A56">
            <w:pPr>
              <w:spacing w:before="20" w:after="20" w:line="300" w:lineRule="auto"/>
              <w:rPr>
                <w:rFonts w:hint="eastAsia"/>
                <w:b/>
                <w:bCs w:val="0"/>
              </w:rPr>
            </w:pPr>
            <w:r>
              <w:rPr>
                <w:rFonts w:ascii="Times New Roman" w:hAnsi="Times New Roman" w:eastAsia="宋体"/>
                <w:b/>
                <w:bCs w:val="0"/>
                <w:sz w:val="21"/>
              </w:rPr>
              <w:t>未保存任何业务相关材料，或销毁、隐匿相关材料</w:t>
            </w:r>
          </w:p>
        </w:tc>
        <w:tc>
          <w:tcPr>
            <w:tcW w:w="1088" w:type="dxa"/>
            <w:noWrap w:val="0"/>
            <w:vAlign w:val="center"/>
          </w:tcPr>
          <w:p w14:paraId="784D5B56">
            <w:pPr>
              <w:spacing w:before="20" w:after="20" w:line="300" w:lineRule="auto"/>
              <w:jc w:val="center"/>
              <w:rPr>
                <w:rFonts w:hint="eastAsia"/>
                <w:b/>
                <w:bCs w:val="0"/>
              </w:rPr>
            </w:pPr>
            <w:r>
              <w:rPr>
                <w:rFonts w:ascii="Times New Roman" w:hAnsi="Times New Roman" w:eastAsia="宋体"/>
                <w:b/>
                <w:bCs w:val="0"/>
                <w:sz w:val="21"/>
              </w:rPr>
              <w:t>5</w:t>
            </w:r>
          </w:p>
        </w:tc>
      </w:tr>
      <w:tr w14:paraId="29A0F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restart"/>
            <w:noWrap w:val="0"/>
            <w:vAlign w:val="center"/>
          </w:tcPr>
          <w:p w14:paraId="05C22A7E">
            <w:pPr>
              <w:spacing w:before="20" w:after="20" w:line="300" w:lineRule="auto"/>
              <w:jc w:val="center"/>
              <w:rPr>
                <w:rFonts w:hint="eastAsia"/>
                <w:b/>
                <w:bCs w:val="0"/>
              </w:rPr>
            </w:pPr>
            <w:r>
              <w:rPr>
                <w:rFonts w:ascii="Times New Roman" w:hAnsi="Times New Roman" w:eastAsia="宋体"/>
                <w:b/>
                <w:bCs w:val="0"/>
                <w:sz w:val="21"/>
              </w:rPr>
              <w:t>违法行为持续时间</w:t>
            </w:r>
          </w:p>
        </w:tc>
        <w:tc>
          <w:tcPr>
            <w:tcW w:w="6738" w:type="dxa"/>
            <w:noWrap w:val="0"/>
            <w:vAlign w:val="center"/>
          </w:tcPr>
          <w:p w14:paraId="7D7226C9">
            <w:pPr>
              <w:spacing w:before="20" w:after="20" w:line="300" w:lineRule="auto"/>
              <w:rPr>
                <w:rFonts w:ascii="Times New Roman" w:hAnsi="Times New Roman" w:eastAsia="宋体"/>
                <w:b/>
                <w:bCs w:val="0"/>
                <w:sz w:val="21"/>
              </w:rPr>
            </w:pPr>
            <w:r>
              <w:rPr>
                <w:rFonts w:ascii="Times New Roman" w:hAnsi="Times New Roman" w:eastAsia="宋体"/>
                <w:b/>
                <w:bCs w:val="0"/>
                <w:sz w:val="21"/>
              </w:rPr>
              <w:t>不足1个月</w:t>
            </w:r>
          </w:p>
        </w:tc>
        <w:tc>
          <w:tcPr>
            <w:tcW w:w="1088" w:type="dxa"/>
            <w:noWrap w:val="0"/>
            <w:vAlign w:val="center"/>
          </w:tcPr>
          <w:p w14:paraId="70EBB759">
            <w:pPr>
              <w:spacing w:before="20" w:after="20" w:line="300" w:lineRule="auto"/>
              <w:jc w:val="center"/>
              <w:rPr>
                <w:rFonts w:ascii="Times New Roman" w:hAnsi="Times New Roman" w:eastAsia="宋体"/>
                <w:b/>
                <w:bCs w:val="0"/>
                <w:sz w:val="21"/>
              </w:rPr>
            </w:pPr>
            <w:r>
              <w:rPr>
                <w:rFonts w:hint="eastAsia" w:ascii="Times New Roman" w:hAnsi="Times New Roman" w:eastAsia="宋体"/>
                <w:b/>
                <w:bCs w:val="0"/>
                <w:sz w:val="21"/>
              </w:rPr>
              <w:t>1</w:t>
            </w:r>
          </w:p>
        </w:tc>
      </w:tr>
      <w:tr w14:paraId="60562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06B083EE">
            <w:pPr>
              <w:spacing w:before="20" w:after="20" w:line="300" w:lineRule="auto"/>
              <w:jc w:val="center"/>
              <w:rPr>
                <w:rFonts w:hint="eastAsia"/>
                <w:b/>
                <w:bCs w:val="0"/>
              </w:rPr>
            </w:pPr>
          </w:p>
        </w:tc>
        <w:tc>
          <w:tcPr>
            <w:tcW w:w="6738" w:type="dxa"/>
            <w:noWrap w:val="0"/>
            <w:vAlign w:val="center"/>
          </w:tcPr>
          <w:p w14:paraId="24C7D769">
            <w:pPr>
              <w:spacing w:before="20" w:after="20" w:line="300" w:lineRule="auto"/>
              <w:rPr>
                <w:rFonts w:ascii="Times New Roman" w:hAnsi="Times New Roman" w:eastAsia="宋体"/>
                <w:b/>
                <w:bCs w:val="0"/>
                <w:sz w:val="21"/>
              </w:rPr>
            </w:pPr>
            <w:r>
              <w:rPr>
                <w:rFonts w:ascii="Times New Roman" w:hAnsi="Times New Roman" w:eastAsia="宋体"/>
                <w:b/>
                <w:bCs w:val="0"/>
                <w:sz w:val="21"/>
              </w:rPr>
              <w:t>1个月以上不足3个月</w:t>
            </w:r>
          </w:p>
        </w:tc>
        <w:tc>
          <w:tcPr>
            <w:tcW w:w="1088" w:type="dxa"/>
            <w:noWrap w:val="0"/>
            <w:vAlign w:val="center"/>
          </w:tcPr>
          <w:p w14:paraId="00569FE9">
            <w:pPr>
              <w:spacing w:before="20" w:after="20" w:line="300" w:lineRule="auto"/>
              <w:jc w:val="center"/>
              <w:rPr>
                <w:rFonts w:ascii="Times New Roman" w:hAnsi="Times New Roman" w:eastAsia="宋体"/>
                <w:b/>
                <w:bCs w:val="0"/>
                <w:sz w:val="21"/>
              </w:rPr>
            </w:pPr>
            <w:r>
              <w:rPr>
                <w:rFonts w:hint="eastAsia" w:ascii="Times New Roman" w:hAnsi="Times New Roman" w:eastAsia="宋体"/>
                <w:b/>
                <w:bCs w:val="0"/>
                <w:sz w:val="21"/>
              </w:rPr>
              <w:t>2</w:t>
            </w:r>
          </w:p>
        </w:tc>
      </w:tr>
      <w:tr w14:paraId="056B2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1D6B62FE">
            <w:pPr>
              <w:spacing w:before="20" w:after="20" w:line="300" w:lineRule="auto"/>
              <w:jc w:val="center"/>
              <w:rPr>
                <w:rFonts w:hint="eastAsia"/>
                <w:b/>
                <w:bCs w:val="0"/>
              </w:rPr>
            </w:pPr>
          </w:p>
        </w:tc>
        <w:tc>
          <w:tcPr>
            <w:tcW w:w="6738" w:type="dxa"/>
            <w:noWrap w:val="0"/>
            <w:vAlign w:val="center"/>
          </w:tcPr>
          <w:p w14:paraId="4E47B987">
            <w:pPr>
              <w:spacing w:before="20" w:after="20" w:line="300" w:lineRule="auto"/>
              <w:rPr>
                <w:rFonts w:ascii="Times New Roman" w:hAnsi="Times New Roman" w:eastAsia="宋体"/>
                <w:b/>
                <w:bCs w:val="0"/>
                <w:sz w:val="21"/>
              </w:rPr>
            </w:pPr>
            <w:r>
              <w:rPr>
                <w:rFonts w:ascii="Times New Roman" w:hAnsi="Times New Roman" w:eastAsia="宋体"/>
                <w:b/>
                <w:bCs w:val="0"/>
                <w:sz w:val="21"/>
              </w:rPr>
              <w:t>3个月以上不足6个月</w:t>
            </w:r>
          </w:p>
        </w:tc>
        <w:tc>
          <w:tcPr>
            <w:tcW w:w="1088" w:type="dxa"/>
            <w:noWrap w:val="0"/>
            <w:vAlign w:val="center"/>
          </w:tcPr>
          <w:p w14:paraId="0D8BD771">
            <w:pPr>
              <w:spacing w:before="20" w:after="20" w:line="300" w:lineRule="auto"/>
              <w:jc w:val="center"/>
              <w:rPr>
                <w:rFonts w:ascii="Times New Roman" w:hAnsi="Times New Roman" w:eastAsia="宋体"/>
                <w:b/>
                <w:bCs w:val="0"/>
                <w:sz w:val="21"/>
              </w:rPr>
            </w:pPr>
            <w:r>
              <w:rPr>
                <w:rFonts w:hint="eastAsia" w:ascii="Times New Roman" w:hAnsi="Times New Roman" w:eastAsia="宋体"/>
                <w:b/>
                <w:bCs w:val="0"/>
                <w:sz w:val="21"/>
              </w:rPr>
              <w:t>3</w:t>
            </w:r>
          </w:p>
        </w:tc>
      </w:tr>
      <w:tr w14:paraId="3B964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64A3FC60">
            <w:pPr>
              <w:spacing w:before="20" w:after="20" w:line="300" w:lineRule="auto"/>
              <w:jc w:val="center"/>
              <w:rPr>
                <w:rFonts w:hint="eastAsia"/>
                <w:b/>
                <w:bCs w:val="0"/>
              </w:rPr>
            </w:pPr>
          </w:p>
        </w:tc>
        <w:tc>
          <w:tcPr>
            <w:tcW w:w="6738" w:type="dxa"/>
            <w:noWrap w:val="0"/>
            <w:vAlign w:val="center"/>
          </w:tcPr>
          <w:p w14:paraId="15824B7D">
            <w:pPr>
              <w:spacing w:before="20" w:after="20" w:line="300" w:lineRule="auto"/>
              <w:rPr>
                <w:rFonts w:ascii="Times New Roman" w:hAnsi="Times New Roman" w:eastAsia="宋体"/>
                <w:b/>
                <w:bCs w:val="0"/>
                <w:sz w:val="21"/>
              </w:rPr>
            </w:pPr>
            <w:r>
              <w:rPr>
                <w:rFonts w:hint="eastAsia" w:ascii="Times New Roman" w:hAnsi="Times New Roman" w:eastAsia="宋体"/>
                <w:b/>
                <w:bCs w:val="0"/>
                <w:sz w:val="21"/>
              </w:rPr>
              <w:t>6个月</w:t>
            </w:r>
            <w:r>
              <w:rPr>
                <w:rFonts w:ascii="Times New Roman" w:hAnsi="Times New Roman" w:eastAsia="宋体"/>
                <w:b/>
                <w:bCs w:val="0"/>
                <w:sz w:val="21"/>
              </w:rPr>
              <w:t>以上</w:t>
            </w:r>
            <w:r>
              <w:rPr>
                <w:rFonts w:hint="eastAsia" w:ascii="Times New Roman" w:hAnsi="Times New Roman" w:eastAsia="宋体"/>
                <w:b/>
                <w:bCs w:val="0"/>
                <w:sz w:val="21"/>
              </w:rPr>
              <w:t>不足1</w:t>
            </w:r>
            <w:r>
              <w:rPr>
                <w:rFonts w:ascii="Times New Roman" w:hAnsi="Times New Roman" w:eastAsia="宋体"/>
                <w:b/>
                <w:bCs w:val="0"/>
                <w:sz w:val="21"/>
              </w:rPr>
              <w:t>年</w:t>
            </w:r>
          </w:p>
        </w:tc>
        <w:tc>
          <w:tcPr>
            <w:tcW w:w="1088" w:type="dxa"/>
            <w:noWrap w:val="0"/>
            <w:vAlign w:val="center"/>
          </w:tcPr>
          <w:p w14:paraId="244DFBA8">
            <w:pPr>
              <w:spacing w:before="20" w:after="20" w:line="300" w:lineRule="auto"/>
              <w:jc w:val="center"/>
              <w:rPr>
                <w:rFonts w:ascii="Times New Roman" w:hAnsi="Times New Roman" w:eastAsia="宋体"/>
                <w:b/>
                <w:bCs w:val="0"/>
                <w:sz w:val="21"/>
              </w:rPr>
            </w:pPr>
            <w:r>
              <w:rPr>
                <w:rFonts w:hint="eastAsia" w:ascii="Times New Roman" w:hAnsi="Times New Roman" w:eastAsia="宋体"/>
                <w:b/>
                <w:bCs w:val="0"/>
                <w:sz w:val="21"/>
              </w:rPr>
              <w:t>4</w:t>
            </w:r>
          </w:p>
        </w:tc>
      </w:tr>
      <w:tr w14:paraId="56E17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5A94E43A">
            <w:pPr>
              <w:spacing w:before="20" w:after="20" w:line="300" w:lineRule="auto"/>
              <w:jc w:val="center"/>
              <w:rPr>
                <w:rFonts w:ascii="Times New Roman" w:hAnsi="Times New Roman" w:eastAsia="宋体"/>
                <w:b/>
                <w:bCs w:val="0"/>
                <w:sz w:val="21"/>
              </w:rPr>
            </w:pPr>
          </w:p>
        </w:tc>
        <w:tc>
          <w:tcPr>
            <w:tcW w:w="6738" w:type="dxa"/>
            <w:noWrap w:val="0"/>
            <w:vAlign w:val="center"/>
          </w:tcPr>
          <w:p w14:paraId="238BBF6C">
            <w:pPr>
              <w:spacing w:before="20" w:after="20" w:line="300" w:lineRule="auto"/>
              <w:rPr>
                <w:rFonts w:ascii="Times New Roman" w:hAnsi="Times New Roman" w:eastAsia="宋体"/>
                <w:b/>
                <w:bCs w:val="0"/>
                <w:sz w:val="21"/>
              </w:rPr>
            </w:pPr>
            <w:r>
              <w:rPr>
                <w:rFonts w:ascii="Times New Roman" w:hAnsi="Times New Roman" w:eastAsia="宋体"/>
                <w:b/>
                <w:bCs w:val="0"/>
                <w:sz w:val="21"/>
              </w:rPr>
              <w:t>1年以上</w:t>
            </w:r>
          </w:p>
        </w:tc>
        <w:tc>
          <w:tcPr>
            <w:tcW w:w="1088" w:type="dxa"/>
            <w:noWrap w:val="0"/>
            <w:vAlign w:val="center"/>
          </w:tcPr>
          <w:p w14:paraId="46EAA2D6">
            <w:pPr>
              <w:spacing w:before="20" w:after="20" w:line="300" w:lineRule="auto"/>
              <w:jc w:val="center"/>
              <w:rPr>
                <w:rFonts w:hint="eastAsia"/>
                <w:b/>
                <w:bCs w:val="0"/>
              </w:rPr>
            </w:pPr>
            <w:r>
              <w:rPr>
                <w:rFonts w:hint="eastAsia" w:ascii="Times New Roman" w:hAnsi="Times New Roman" w:eastAsia="宋体"/>
                <w:b/>
                <w:bCs w:val="0"/>
                <w:sz w:val="21"/>
              </w:rPr>
              <w:t>5</w:t>
            </w:r>
          </w:p>
        </w:tc>
      </w:tr>
      <w:tr w14:paraId="017F5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restart"/>
            <w:noWrap w:val="0"/>
            <w:vAlign w:val="center"/>
          </w:tcPr>
          <w:p w14:paraId="70367F06">
            <w:pPr>
              <w:spacing w:before="20" w:after="20" w:line="300" w:lineRule="auto"/>
              <w:jc w:val="center"/>
              <w:rPr>
                <w:rFonts w:ascii="Times New Roman" w:hAnsi="Times New Roman" w:eastAsia="宋体"/>
                <w:b/>
                <w:bCs w:val="0"/>
                <w:sz w:val="21"/>
              </w:rPr>
            </w:pPr>
            <w:r>
              <w:rPr>
                <w:rFonts w:hint="eastAsia" w:ascii="Times New Roman" w:hAnsi="Times New Roman" w:eastAsia="宋体"/>
                <w:b/>
                <w:bCs w:val="0"/>
                <w:sz w:val="21"/>
              </w:rPr>
              <w:t>违法所得</w:t>
            </w:r>
          </w:p>
          <w:p w14:paraId="13D8A335">
            <w:pPr>
              <w:spacing w:before="20" w:after="20" w:line="300" w:lineRule="auto"/>
              <w:jc w:val="center"/>
              <w:rPr>
                <w:rFonts w:ascii="Times New Roman" w:hAnsi="Times New Roman" w:eastAsia="宋体"/>
                <w:b/>
                <w:bCs w:val="0"/>
                <w:sz w:val="21"/>
              </w:rPr>
            </w:pPr>
            <w:r>
              <w:rPr>
                <w:rFonts w:hint="eastAsia" w:ascii="Times New Roman" w:hAnsi="Times New Roman" w:eastAsia="宋体"/>
                <w:b/>
                <w:bCs w:val="0"/>
                <w:sz w:val="21"/>
              </w:rPr>
              <w:t>金额</w:t>
            </w:r>
          </w:p>
        </w:tc>
        <w:tc>
          <w:tcPr>
            <w:tcW w:w="6738" w:type="dxa"/>
            <w:noWrap w:val="0"/>
            <w:vAlign w:val="center"/>
          </w:tcPr>
          <w:p w14:paraId="061D9056">
            <w:pPr>
              <w:spacing w:before="20" w:after="20" w:line="300" w:lineRule="auto"/>
              <w:rPr>
                <w:rFonts w:ascii="Times New Roman" w:hAnsi="Times New Roman" w:eastAsia="宋体"/>
                <w:b/>
                <w:bCs w:val="0"/>
                <w:sz w:val="21"/>
              </w:rPr>
            </w:pPr>
            <w:r>
              <w:rPr>
                <w:rFonts w:hint="eastAsia" w:ascii="宋体" w:hAnsi="宋体" w:eastAsia="宋体"/>
                <w:b/>
                <w:bCs w:val="0"/>
                <w:sz w:val="21"/>
              </w:rPr>
              <w:t>不足2000元</w:t>
            </w:r>
          </w:p>
        </w:tc>
        <w:tc>
          <w:tcPr>
            <w:tcW w:w="1088" w:type="dxa"/>
            <w:noWrap w:val="0"/>
            <w:vAlign w:val="center"/>
          </w:tcPr>
          <w:p w14:paraId="010B916C">
            <w:pPr>
              <w:spacing w:before="20" w:after="20" w:line="300" w:lineRule="auto"/>
              <w:jc w:val="center"/>
              <w:rPr>
                <w:rFonts w:ascii="Times New Roman" w:hAnsi="Times New Roman" w:eastAsia="宋体"/>
                <w:b/>
                <w:bCs w:val="0"/>
                <w:sz w:val="21"/>
              </w:rPr>
            </w:pPr>
            <w:r>
              <w:rPr>
                <w:rFonts w:hint="eastAsia" w:ascii="Times New Roman" w:hAnsi="Times New Roman" w:eastAsia="宋体"/>
                <w:b/>
                <w:bCs w:val="0"/>
                <w:sz w:val="21"/>
              </w:rPr>
              <w:t>1</w:t>
            </w:r>
          </w:p>
        </w:tc>
      </w:tr>
      <w:tr w14:paraId="281DB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4AA1E33F">
            <w:pPr>
              <w:spacing w:before="20" w:after="20" w:line="300" w:lineRule="auto"/>
              <w:jc w:val="center"/>
              <w:rPr>
                <w:rFonts w:ascii="Times New Roman" w:hAnsi="Times New Roman" w:eastAsia="宋体"/>
                <w:b/>
                <w:bCs w:val="0"/>
                <w:sz w:val="21"/>
              </w:rPr>
            </w:pPr>
          </w:p>
        </w:tc>
        <w:tc>
          <w:tcPr>
            <w:tcW w:w="6738" w:type="dxa"/>
            <w:noWrap w:val="0"/>
            <w:vAlign w:val="center"/>
          </w:tcPr>
          <w:p w14:paraId="0F0374A7">
            <w:pPr>
              <w:spacing w:before="20" w:after="20" w:line="300" w:lineRule="auto"/>
              <w:rPr>
                <w:rFonts w:ascii="Times New Roman" w:hAnsi="Times New Roman" w:eastAsia="宋体"/>
                <w:b/>
                <w:bCs w:val="0"/>
                <w:sz w:val="21"/>
              </w:rPr>
            </w:pPr>
            <w:r>
              <w:rPr>
                <w:rFonts w:hint="eastAsia" w:ascii="宋体" w:hAnsi="宋体" w:eastAsia="宋体"/>
                <w:b/>
                <w:bCs w:val="0"/>
                <w:sz w:val="21"/>
              </w:rPr>
              <w:t>2000元以上，不足5000元</w:t>
            </w:r>
          </w:p>
        </w:tc>
        <w:tc>
          <w:tcPr>
            <w:tcW w:w="1088" w:type="dxa"/>
            <w:noWrap w:val="0"/>
            <w:vAlign w:val="center"/>
          </w:tcPr>
          <w:p w14:paraId="4AE15A17">
            <w:pPr>
              <w:spacing w:before="20" w:after="20" w:line="300" w:lineRule="auto"/>
              <w:jc w:val="center"/>
              <w:rPr>
                <w:rFonts w:ascii="Times New Roman" w:hAnsi="Times New Roman" w:eastAsia="宋体"/>
                <w:b/>
                <w:bCs w:val="0"/>
                <w:sz w:val="21"/>
              </w:rPr>
            </w:pPr>
            <w:r>
              <w:rPr>
                <w:rFonts w:hint="eastAsia" w:ascii="Times New Roman" w:hAnsi="Times New Roman" w:eastAsia="宋体"/>
                <w:b/>
                <w:bCs w:val="0"/>
                <w:sz w:val="21"/>
              </w:rPr>
              <w:t>2</w:t>
            </w:r>
          </w:p>
        </w:tc>
      </w:tr>
      <w:tr w14:paraId="5642C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691CFEED">
            <w:pPr>
              <w:spacing w:before="20" w:after="20" w:line="300" w:lineRule="auto"/>
              <w:jc w:val="center"/>
              <w:rPr>
                <w:rFonts w:ascii="Times New Roman" w:hAnsi="Times New Roman" w:eastAsia="宋体"/>
                <w:b/>
                <w:bCs w:val="0"/>
                <w:sz w:val="21"/>
              </w:rPr>
            </w:pPr>
          </w:p>
        </w:tc>
        <w:tc>
          <w:tcPr>
            <w:tcW w:w="6738" w:type="dxa"/>
            <w:noWrap w:val="0"/>
            <w:vAlign w:val="center"/>
          </w:tcPr>
          <w:p w14:paraId="6B42A9CF">
            <w:pPr>
              <w:spacing w:before="20" w:after="20" w:line="300" w:lineRule="auto"/>
              <w:rPr>
                <w:rFonts w:ascii="Times New Roman" w:hAnsi="Times New Roman" w:eastAsia="宋体"/>
                <w:b/>
                <w:bCs w:val="0"/>
                <w:sz w:val="21"/>
              </w:rPr>
            </w:pPr>
            <w:r>
              <w:rPr>
                <w:rFonts w:hint="eastAsia" w:ascii="宋体" w:hAnsi="宋体" w:eastAsia="宋体"/>
                <w:b/>
                <w:bCs w:val="0"/>
                <w:sz w:val="21"/>
              </w:rPr>
              <w:t>5000元以上，不足1万元</w:t>
            </w:r>
          </w:p>
        </w:tc>
        <w:tc>
          <w:tcPr>
            <w:tcW w:w="1088" w:type="dxa"/>
            <w:noWrap w:val="0"/>
            <w:vAlign w:val="center"/>
          </w:tcPr>
          <w:p w14:paraId="3183F7B2">
            <w:pPr>
              <w:spacing w:before="20" w:after="20" w:line="300" w:lineRule="auto"/>
              <w:jc w:val="center"/>
              <w:rPr>
                <w:rFonts w:ascii="Times New Roman" w:hAnsi="Times New Roman" w:eastAsia="宋体"/>
                <w:b/>
                <w:bCs w:val="0"/>
                <w:sz w:val="21"/>
              </w:rPr>
            </w:pPr>
            <w:r>
              <w:rPr>
                <w:rFonts w:hint="eastAsia" w:ascii="Times New Roman" w:hAnsi="Times New Roman" w:eastAsia="宋体"/>
                <w:b/>
                <w:bCs w:val="0"/>
                <w:sz w:val="21"/>
              </w:rPr>
              <w:t>3</w:t>
            </w:r>
          </w:p>
        </w:tc>
      </w:tr>
      <w:tr w14:paraId="7309B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291266B7">
            <w:pPr>
              <w:spacing w:before="20" w:after="20" w:line="300" w:lineRule="auto"/>
              <w:jc w:val="center"/>
              <w:rPr>
                <w:rFonts w:ascii="Times New Roman" w:hAnsi="Times New Roman" w:eastAsia="宋体"/>
                <w:b/>
                <w:bCs w:val="0"/>
                <w:sz w:val="21"/>
              </w:rPr>
            </w:pPr>
          </w:p>
        </w:tc>
        <w:tc>
          <w:tcPr>
            <w:tcW w:w="6738" w:type="dxa"/>
            <w:noWrap w:val="0"/>
            <w:vAlign w:val="center"/>
          </w:tcPr>
          <w:p w14:paraId="7E186509">
            <w:pPr>
              <w:spacing w:before="20" w:after="20" w:line="300" w:lineRule="auto"/>
              <w:rPr>
                <w:rFonts w:ascii="Times New Roman" w:hAnsi="Times New Roman" w:eastAsia="宋体"/>
                <w:b/>
                <w:bCs w:val="0"/>
                <w:sz w:val="21"/>
              </w:rPr>
            </w:pPr>
            <w:r>
              <w:rPr>
                <w:rFonts w:hint="eastAsia" w:ascii="宋体" w:hAnsi="宋体" w:eastAsia="宋体"/>
                <w:b/>
                <w:bCs w:val="0"/>
                <w:sz w:val="21"/>
              </w:rPr>
              <w:t>1万元以上，不足2万元</w:t>
            </w:r>
          </w:p>
        </w:tc>
        <w:tc>
          <w:tcPr>
            <w:tcW w:w="1088" w:type="dxa"/>
            <w:noWrap w:val="0"/>
            <w:vAlign w:val="center"/>
          </w:tcPr>
          <w:p w14:paraId="46FFD6FA">
            <w:pPr>
              <w:spacing w:before="20" w:after="20" w:line="300" w:lineRule="auto"/>
              <w:jc w:val="center"/>
              <w:rPr>
                <w:rFonts w:ascii="Times New Roman" w:hAnsi="Times New Roman" w:eastAsia="宋体"/>
                <w:b/>
                <w:bCs w:val="0"/>
                <w:sz w:val="21"/>
              </w:rPr>
            </w:pPr>
            <w:r>
              <w:rPr>
                <w:rFonts w:hint="eastAsia" w:ascii="Times New Roman" w:hAnsi="Times New Roman" w:eastAsia="宋体"/>
                <w:b/>
                <w:bCs w:val="0"/>
                <w:sz w:val="21"/>
              </w:rPr>
              <w:t>4</w:t>
            </w:r>
          </w:p>
        </w:tc>
      </w:tr>
      <w:tr w14:paraId="7519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6CFF9806">
            <w:pPr>
              <w:spacing w:before="20" w:after="20" w:line="300" w:lineRule="auto"/>
              <w:jc w:val="center"/>
              <w:rPr>
                <w:rFonts w:ascii="Times New Roman" w:hAnsi="Times New Roman" w:eastAsia="宋体"/>
                <w:b/>
                <w:bCs w:val="0"/>
                <w:sz w:val="21"/>
              </w:rPr>
            </w:pPr>
          </w:p>
        </w:tc>
        <w:tc>
          <w:tcPr>
            <w:tcW w:w="6738" w:type="dxa"/>
            <w:noWrap w:val="0"/>
            <w:vAlign w:val="center"/>
          </w:tcPr>
          <w:p w14:paraId="06EA6994">
            <w:pPr>
              <w:spacing w:before="20" w:after="20" w:line="300" w:lineRule="auto"/>
              <w:rPr>
                <w:rFonts w:ascii="Times New Roman" w:hAnsi="Times New Roman" w:eastAsia="宋体"/>
                <w:b/>
                <w:bCs w:val="0"/>
                <w:sz w:val="21"/>
              </w:rPr>
            </w:pPr>
            <w:r>
              <w:rPr>
                <w:rFonts w:hint="eastAsia" w:ascii="宋体" w:hAnsi="宋体" w:eastAsia="宋体"/>
                <w:b/>
                <w:bCs w:val="0"/>
                <w:sz w:val="21"/>
              </w:rPr>
              <w:t>2万元以上</w:t>
            </w:r>
          </w:p>
        </w:tc>
        <w:tc>
          <w:tcPr>
            <w:tcW w:w="1088" w:type="dxa"/>
            <w:noWrap w:val="0"/>
            <w:vAlign w:val="center"/>
          </w:tcPr>
          <w:p w14:paraId="59B8A80C">
            <w:pPr>
              <w:spacing w:before="20" w:after="20" w:line="300" w:lineRule="auto"/>
              <w:jc w:val="center"/>
              <w:rPr>
                <w:rFonts w:ascii="Times New Roman" w:hAnsi="Times New Roman" w:eastAsia="宋体"/>
                <w:b/>
                <w:bCs w:val="0"/>
                <w:sz w:val="21"/>
              </w:rPr>
            </w:pPr>
            <w:r>
              <w:rPr>
                <w:rFonts w:hint="eastAsia" w:ascii="Times New Roman" w:hAnsi="Times New Roman" w:eastAsia="宋体"/>
                <w:b/>
                <w:bCs w:val="0"/>
                <w:sz w:val="21"/>
              </w:rPr>
              <w:t>5</w:t>
            </w:r>
          </w:p>
        </w:tc>
      </w:tr>
    </w:tbl>
    <w:p w14:paraId="05963923">
      <w:pPr>
        <w:spacing w:before="40" w:after="40" w:line="400" w:lineRule="auto"/>
        <w:jc w:val="both"/>
        <w:rPr>
          <w:rFonts w:hint="eastAsia" w:eastAsia="黑体"/>
          <w:lang w:eastAsia="zh-CN"/>
        </w:rPr>
      </w:pPr>
      <w:r>
        <w:rPr>
          <w:rFonts w:hint="eastAsia" w:ascii="Times New Roman" w:hAnsi="Times New Roman" w:eastAsia="黑体"/>
          <w:b/>
          <w:sz w:val="24"/>
        </w:rPr>
        <w:t>3</w:t>
      </w:r>
      <w:r>
        <w:rPr>
          <w:rFonts w:ascii="Times New Roman" w:hAnsi="Times New Roman" w:eastAsia="黑体"/>
          <w:b/>
          <w:sz w:val="24"/>
        </w:rPr>
        <w:t>.生态环境技术服务机构超出其业务范围接受委托，违反约定将受托业务转委托，或者同时接受可能存在利益冲突的委托的行为</w:t>
      </w:r>
      <w:r>
        <w:rPr>
          <w:rFonts w:hint="eastAsia" w:ascii="Times New Roman" w:hAnsi="Times New Roman" w:eastAsia="黑体"/>
          <w:b/>
          <w:sz w:val="24"/>
          <w:lang w:eastAsia="zh-CN"/>
        </w:rPr>
        <w:t>（新增）</w:t>
      </w:r>
    </w:p>
    <w:tbl>
      <w:tblPr>
        <w:tblStyle w:val="8"/>
        <w:tblW w:w="9026"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200"/>
        <w:gridCol w:w="6723"/>
        <w:gridCol w:w="1103"/>
      </w:tblGrid>
      <w:tr w14:paraId="4B9CC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noWrap w:val="0"/>
            <w:vAlign w:val="center"/>
          </w:tcPr>
          <w:p w14:paraId="66617F41">
            <w:pPr>
              <w:spacing w:before="20" w:after="20" w:line="300" w:lineRule="auto"/>
              <w:jc w:val="center"/>
              <w:rPr>
                <w:rFonts w:hint="eastAsia"/>
              </w:rPr>
            </w:pPr>
            <w:r>
              <w:rPr>
                <w:rFonts w:ascii="Times New Roman" w:hAnsi="Times New Roman" w:eastAsia="宋体"/>
                <w:b/>
                <w:sz w:val="21"/>
              </w:rPr>
              <w:t>违反条款</w:t>
            </w:r>
          </w:p>
        </w:tc>
        <w:tc>
          <w:tcPr>
            <w:tcW w:w="7826" w:type="dxa"/>
            <w:gridSpan w:val="2"/>
            <w:noWrap w:val="0"/>
            <w:vAlign w:val="center"/>
          </w:tcPr>
          <w:p w14:paraId="06D4058E">
            <w:pPr>
              <w:spacing w:before="20" w:after="20" w:line="300" w:lineRule="auto"/>
              <w:rPr>
                <w:rFonts w:hint="eastAsia"/>
                <w:b/>
                <w:bCs/>
              </w:rPr>
            </w:pPr>
            <w:r>
              <w:rPr>
                <w:rFonts w:ascii="Times New Roman" w:hAnsi="Times New Roman" w:eastAsia="宋体"/>
                <w:b/>
                <w:bCs/>
                <w:sz w:val="21"/>
              </w:rPr>
              <w:t>《生态环境监测条例》（2026修订版）第二十九条</w:t>
            </w:r>
            <w:r>
              <w:rPr>
                <w:rFonts w:hint="eastAsia" w:ascii="Times New Roman" w:hAnsi="Times New Roman" w:eastAsia="宋体"/>
                <w:b/>
                <w:bCs/>
                <w:sz w:val="21"/>
              </w:rPr>
              <w:t xml:space="preserve"> </w:t>
            </w:r>
            <w:r>
              <w:rPr>
                <w:rFonts w:ascii="Times New Roman" w:hAnsi="Times New Roman" w:eastAsia="宋体"/>
                <w:b/>
                <w:bCs/>
                <w:sz w:val="21"/>
              </w:rPr>
              <w:t>技术服务机构不得超出其业务范围接受委托，不得违反约定将受托业务转委托。技术服务机构应当独立、客观、公正开展监测服务，不得同时接受可能存在利益冲突的委托。</w:t>
            </w:r>
          </w:p>
        </w:tc>
      </w:tr>
      <w:tr w14:paraId="3FD4A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noWrap w:val="0"/>
            <w:vAlign w:val="center"/>
          </w:tcPr>
          <w:p w14:paraId="01609D93">
            <w:pPr>
              <w:spacing w:before="20" w:after="20" w:line="300" w:lineRule="auto"/>
              <w:jc w:val="center"/>
              <w:rPr>
                <w:rFonts w:hint="eastAsia"/>
              </w:rPr>
            </w:pPr>
            <w:r>
              <w:rPr>
                <w:rFonts w:ascii="Times New Roman" w:hAnsi="Times New Roman" w:eastAsia="宋体"/>
                <w:b/>
                <w:sz w:val="21"/>
              </w:rPr>
              <w:t>处罚依据</w:t>
            </w:r>
          </w:p>
        </w:tc>
        <w:tc>
          <w:tcPr>
            <w:tcW w:w="7826" w:type="dxa"/>
            <w:gridSpan w:val="2"/>
            <w:noWrap w:val="0"/>
            <w:vAlign w:val="center"/>
          </w:tcPr>
          <w:p w14:paraId="1A6D0AA4">
            <w:pPr>
              <w:spacing w:before="20" w:after="20" w:line="300" w:lineRule="auto"/>
              <w:rPr>
                <w:rFonts w:hint="eastAsia"/>
                <w:b/>
                <w:bCs/>
              </w:rPr>
            </w:pPr>
            <w:r>
              <w:rPr>
                <w:rFonts w:ascii="Times New Roman" w:hAnsi="Times New Roman" w:eastAsia="宋体"/>
                <w:b/>
                <w:bCs/>
                <w:sz w:val="21"/>
              </w:rPr>
              <w:t>《生态环境监测条例》（2026修订版）第四十三条第三项　技术服务机构有下列情形之一的，由生态环境主管部门责令改正，处2万元以上20万元以下的罚款；有违法所得的，没收违法所得；拒不改正的，报经有批准权的人民政府批准，责令停业、关闭：（三）超出其业务范围接受委托，违反约定将受托业务转委托，或者同时接受可能存在利益冲突的委托。</w:t>
            </w:r>
          </w:p>
        </w:tc>
      </w:tr>
      <w:tr w14:paraId="3177D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noWrap w:val="0"/>
            <w:vAlign w:val="center"/>
          </w:tcPr>
          <w:p w14:paraId="0D571A88">
            <w:pPr>
              <w:spacing w:before="20" w:after="20" w:line="300" w:lineRule="auto"/>
              <w:jc w:val="center"/>
              <w:rPr>
                <w:rFonts w:hint="eastAsia"/>
              </w:rPr>
            </w:pPr>
            <w:r>
              <w:rPr>
                <w:rFonts w:ascii="Times New Roman" w:hAnsi="Times New Roman" w:eastAsia="宋体"/>
                <w:b/>
                <w:sz w:val="21"/>
              </w:rPr>
              <w:t>裁量因素</w:t>
            </w:r>
          </w:p>
        </w:tc>
        <w:tc>
          <w:tcPr>
            <w:tcW w:w="6723" w:type="dxa"/>
            <w:noWrap w:val="0"/>
            <w:vAlign w:val="center"/>
          </w:tcPr>
          <w:p w14:paraId="25F5A586">
            <w:pPr>
              <w:spacing w:before="20" w:after="20" w:line="300" w:lineRule="auto"/>
              <w:jc w:val="center"/>
              <w:rPr>
                <w:rFonts w:hint="eastAsia"/>
              </w:rPr>
            </w:pPr>
            <w:r>
              <w:rPr>
                <w:rFonts w:ascii="Times New Roman" w:hAnsi="Times New Roman" w:eastAsia="宋体"/>
                <w:b/>
                <w:sz w:val="21"/>
              </w:rPr>
              <w:t>裁量因子</w:t>
            </w:r>
          </w:p>
        </w:tc>
        <w:tc>
          <w:tcPr>
            <w:tcW w:w="1103" w:type="dxa"/>
            <w:noWrap w:val="0"/>
            <w:vAlign w:val="center"/>
          </w:tcPr>
          <w:p w14:paraId="4B567095">
            <w:pPr>
              <w:spacing w:before="20" w:after="20" w:line="300" w:lineRule="auto"/>
              <w:jc w:val="center"/>
              <w:rPr>
                <w:rFonts w:hint="eastAsia"/>
              </w:rPr>
            </w:pPr>
            <w:r>
              <w:rPr>
                <w:rFonts w:ascii="Times New Roman" w:hAnsi="Times New Roman" w:eastAsia="宋体"/>
                <w:b/>
                <w:sz w:val="21"/>
              </w:rPr>
              <w:t>裁量等级</w:t>
            </w:r>
          </w:p>
        </w:tc>
      </w:tr>
      <w:tr w14:paraId="0BF32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restart"/>
            <w:noWrap w:val="0"/>
            <w:vAlign w:val="center"/>
          </w:tcPr>
          <w:p w14:paraId="787244C0">
            <w:pPr>
              <w:spacing w:before="20" w:after="20" w:line="300" w:lineRule="auto"/>
              <w:jc w:val="center"/>
              <w:rPr>
                <w:rFonts w:ascii="Times New Roman" w:hAnsi="Times New Roman" w:eastAsia="宋体"/>
                <w:b/>
                <w:sz w:val="21"/>
              </w:rPr>
            </w:pPr>
            <w:r>
              <w:rPr>
                <w:rFonts w:ascii="Times New Roman" w:hAnsi="Times New Roman" w:eastAsia="宋体"/>
                <w:b/>
                <w:sz w:val="21"/>
              </w:rPr>
              <w:t>违法事实</w:t>
            </w:r>
          </w:p>
        </w:tc>
        <w:tc>
          <w:tcPr>
            <w:tcW w:w="6723" w:type="dxa"/>
            <w:noWrap w:val="0"/>
            <w:vAlign w:val="center"/>
          </w:tcPr>
          <w:p w14:paraId="4BDB2384">
            <w:pPr>
              <w:spacing w:before="20" w:after="20" w:line="300" w:lineRule="auto"/>
              <w:rPr>
                <w:rFonts w:hint="eastAsia"/>
                <w:b/>
                <w:bCs/>
              </w:rPr>
            </w:pPr>
            <w:r>
              <w:rPr>
                <w:rFonts w:ascii="Times New Roman" w:hAnsi="Times New Roman" w:eastAsia="宋体"/>
                <w:b/>
                <w:bCs/>
                <w:sz w:val="21"/>
              </w:rPr>
              <w:t>违反约定将受托业务部分转委托</w:t>
            </w:r>
            <w:r>
              <w:rPr>
                <w:rFonts w:hint="eastAsia" w:ascii="Times New Roman" w:hAnsi="Times New Roman" w:eastAsia="宋体"/>
                <w:b/>
                <w:bCs/>
                <w:sz w:val="21"/>
              </w:rPr>
              <w:t>，或</w:t>
            </w:r>
            <w:r>
              <w:rPr>
                <w:rFonts w:ascii="Times New Roman" w:hAnsi="Times New Roman" w:eastAsia="宋体"/>
                <w:b/>
                <w:bCs/>
                <w:sz w:val="21"/>
              </w:rPr>
              <w:t>同时接受可能存在利益冲突的委托，尚未造成监测数据失真</w:t>
            </w:r>
          </w:p>
        </w:tc>
        <w:tc>
          <w:tcPr>
            <w:tcW w:w="1103" w:type="dxa"/>
            <w:noWrap w:val="0"/>
            <w:vAlign w:val="center"/>
          </w:tcPr>
          <w:p w14:paraId="10981B26">
            <w:pPr>
              <w:spacing w:before="20" w:after="20" w:line="300" w:lineRule="auto"/>
              <w:jc w:val="center"/>
              <w:rPr>
                <w:rFonts w:hint="eastAsia"/>
                <w:b/>
                <w:bCs/>
              </w:rPr>
            </w:pPr>
            <w:r>
              <w:rPr>
                <w:rFonts w:ascii="Times New Roman" w:hAnsi="Times New Roman" w:eastAsia="宋体"/>
                <w:b/>
                <w:bCs/>
                <w:sz w:val="21"/>
              </w:rPr>
              <w:t>1</w:t>
            </w:r>
          </w:p>
        </w:tc>
      </w:tr>
      <w:tr w14:paraId="554F1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391E28BC">
            <w:pPr>
              <w:spacing w:before="20" w:after="20" w:line="300" w:lineRule="auto"/>
              <w:rPr>
                <w:rFonts w:hint="eastAsia"/>
              </w:rPr>
            </w:pPr>
          </w:p>
        </w:tc>
        <w:tc>
          <w:tcPr>
            <w:tcW w:w="6723" w:type="dxa"/>
            <w:noWrap w:val="0"/>
            <w:vAlign w:val="center"/>
          </w:tcPr>
          <w:p w14:paraId="39B464A7">
            <w:pPr>
              <w:spacing w:before="20" w:after="20" w:line="300" w:lineRule="auto"/>
              <w:rPr>
                <w:rFonts w:hint="eastAsia"/>
                <w:b/>
                <w:bCs/>
              </w:rPr>
            </w:pPr>
            <w:r>
              <w:rPr>
                <w:rFonts w:ascii="Times New Roman" w:hAnsi="Times New Roman" w:eastAsia="宋体"/>
                <w:b/>
                <w:bCs/>
                <w:sz w:val="21"/>
              </w:rPr>
              <w:t>违反约定将受托业务部分转委托</w:t>
            </w:r>
            <w:r>
              <w:rPr>
                <w:rFonts w:hint="eastAsia" w:ascii="Times New Roman" w:hAnsi="Times New Roman" w:eastAsia="宋体"/>
                <w:b/>
                <w:bCs/>
                <w:sz w:val="21"/>
              </w:rPr>
              <w:t>，或</w:t>
            </w:r>
            <w:r>
              <w:rPr>
                <w:rFonts w:ascii="Times New Roman" w:hAnsi="Times New Roman" w:eastAsia="宋体"/>
                <w:b/>
                <w:bCs/>
                <w:sz w:val="21"/>
              </w:rPr>
              <w:t>同时接受可能存在利益冲突的委托，造成监测数据</w:t>
            </w:r>
            <w:r>
              <w:rPr>
                <w:rFonts w:hint="eastAsia" w:ascii="Times New Roman" w:hAnsi="Times New Roman" w:eastAsia="宋体"/>
                <w:b/>
                <w:bCs/>
                <w:sz w:val="21"/>
              </w:rPr>
              <w:t>部分</w:t>
            </w:r>
            <w:r>
              <w:rPr>
                <w:rFonts w:ascii="Times New Roman" w:hAnsi="Times New Roman" w:eastAsia="宋体"/>
                <w:b/>
                <w:bCs/>
                <w:sz w:val="21"/>
              </w:rPr>
              <w:t>失真</w:t>
            </w:r>
          </w:p>
        </w:tc>
        <w:tc>
          <w:tcPr>
            <w:tcW w:w="1103" w:type="dxa"/>
            <w:noWrap w:val="0"/>
            <w:vAlign w:val="center"/>
          </w:tcPr>
          <w:p w14:paraId="52928EE6">
            <w:pPr>
              <w:spacing w:before="20" w:after="20" w:line="300" w:lineRule="auto"/>
              <w:jc w:val="center"/>
              <w:rPr>
                <w:rFonts w:hint="eastAsia"/>
                <w:b/>
                <w:bCs/>
              </w:rPr>
            </w:pPr>
            <w:r>
              <w:rPr>
                <w:rFonts w:ascii="Times New Roman" w:hAnsi="Times New Roman" w:eastAsia="宋体"/>
                <w:b/>
                <w:bCs/>
                <w:sz w:val="21"/>
              </w:rPr>
              <w:t>3</w:t>
            </w:r>
          </w:p>
        </w:tc>
      </w:tr>
      <w:tr w14:paraId="791F0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2294895C">
            <w:pPr>
              <w:spacing w:before="20" w:after="20" w:line="300" w:lineRule="auto"/>
              <w:rPr>
                <w:rFonts w:hint="eastAsia"/>
              </w:rPr>
            </w:pPr>
          </w:p>
        </w:tc>
        <w:tc>
          <w:tcPr>
            <w:tcW w:w="6723" w:type="dxa"/>
            <w:noWrap w:val="0"/>
            <w:vAlign w:val="center"/>
          </w:tcPr>
          <w:p w14:paraId="2F202D27">
            <w:pPr>
              <w:spacing w:before="20" w:after="20" w:line="300" w:lineRule="auto"/>
              <w:rPr>
                <w:rFonts w:hint="eastAsia"/>
                <w:b/>
                <w:bCs/>
              </w:rPr>
            </w:pPr>
            <w:r>
              <w:rPr>
                <w:rFonts w:ascii="Times New Roman" w:hAnsi="Times New Roman" w:eastAsia="宋体"/>
                <w:b/>
                <w:bCs/>
                <w:sz w:val="21"/>
              </w:rPr>
              <w:t>超出业务范围接受委托，或将受托业务全部转委托，或同时接受可能存在利益冲突的委托，因此导致监测数据</w:t>
            </w:r>
            <w:r>
              <w:rPr>
                <w:rFonts w:hint="eastAsia" w:ascii="Times New Roman" w:hAnsi="Times New Roman" w:eastAsia="宋体"/>
                <w:b/>
                <w:bCs/>
                <w:sz w:val="21"/>
              </w:rPr>
              <w:t>全部</w:t>
            </w:r>
            <w:r>
              <w:rPr>
                <w:rFonts w:ascii="Times New Roman" w:hAnsi="Times New Roman" w:eastAsia="宋体"/>
                <w:b/>
                <w:bCs/>
                <w:sz w:val="21"/>
              </w:rPr>
              <w:t>失真</w:t>
            </w:r>
          </w:p>
        </w:tc>
        <w:tc>
          <w:tcPr>
            <w:tcW w:w="1103" w:type="dxa"/>
            <w:noWrap w:val="0"/>
            <w:vAlign w:val="center"/>
          </w:tcPr>
          <w:p w14:paraId="6F529580">
            <w:pPr>
              <w:spacing w:before="20" w:after="20" w:line="300" w:lineRule="auto"/>
              <w:jc w:val="center"/>
              <w:rPr>
                <w:rFonts w:hint="eastAsia"/>
                <w:b/>
                <w:bCs/>
              </w:rPr>
            </w:pPr>
            <w:r>
              <w:rPr>
                <w:rFonts w:ascii="Times New Roman" w:hAnsi="Times New Roman" w:eastAsia="宋体"/>
                <w:b/>
                <w:bCs/>
                <w:sz w:val="21"/>
              </w:rPr>
              <w:t>5</w:t>
            </w:r>
          </w:p>
        </w:tc>
      </w:tr>
      <w:tr w14:paraId="58EA6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restart"/>
            <w:noWrap w:val="0"/>
            <w:vAlign w:val="center"/>
          </w:tcPr>
          <w:p w14:paraId="1FD0EFC9">
            <w:pPr>
              <w:spacing w:before="20" w:after="20" w:line="300" w:lineRule="auto"/>
              <w:jc w:val="center"/>
              <w:rPr>
                <w:rFonts w:ascii="Times New Roman" w:hAnsi="Times New Roman" w:eastAsia="宋体"/>
                <w:b/>
                <w:sz w:val="21"/>
              </w:rPr>
            </w:pPr>
            <w:r>
              <w:rPr>
                <w:rFonts w:ascii="Times New Roman" w:hAnsi="Times New Roman" w:eastAsia="宋体"/>
                <w:b/>
                <w:sz w:val="21"/>
              </w:rPr>
              <w:t>违法所得</w:t>
            </w:r>
          </w:p>
          <w:p w14:paraId="10AF6B61">
            <w:pPr>
              <w:spacing w:before="20" w:after="20" w:line="300" w:lineRule="auto"/>
              <w:jc w:val="center"/>
              <w:rPr>
                <w:rFonts w:hint="eastAsia"/>
              </w:rPr>
            </w:pPr>
            <w:r>
              <w:rPr>
                <w:rFonts w:ascii="Times New Roman" w:hAnsi="Times New Roman" w:eastAsia="宋体"/>
                <w:b/>
                <w:sz w:val="21"/>
              </w:rPr>
              <w:t>金额</w:t>
            </w:r>
          </w:p>
        </w:tc>
        <w:tc>
          <w:tcPr>
            <w:tcW w:w="6723" w:type="dxa"/>
            <w:noWrap w:val="0"/>
            <w:vAlign w:val="center"/>
          </w:tcPr>
          <w:p w14:paraId="1F03DF21">
            <w:pPr>
              <w:spacing w:before="20" w:after="20" w:line="300" w:lineRule="auto"/>
              <w:rPr>
                <w:rFonts w:hint="eastAsia" w:ascii="宋体" w:hAnsi="宋体" w:eastAsia="宋体"/>
                <w:b/>
                <w:bCs/>
                <w:sz w:val="21"/>
              </w:rPr>
            </w:pPr>
            <w:r>
              <w:rPr>
                <w:rFonts w:hint="eastAsia" w:ascii="宋体" w:hAnsi="宋体" w:eastAsia="宋体"/>
                <w:b/>
                <w:bCs/>
                <w:sz w:val="21"/>
              </w:rPr>
              <w:t>不足2000元</w:t>
            </w:r>
          </w:p>
        </w:tc>
        <w:tc>
          <w:tcPr>
            <w:tcW w:w="1103" w:type="dxa"/>
            <w:noWrap w:val="0"/>
            <w:vAlign w:val="center"/>
          </w:tcPr>
          <w:p w14:paraId="68C87F4B">
            <w:pPr>
              <w:spacing w:before="20" w:after="20" w:line="300" w:lineRule="auto"/>
              <w:jc w:val="center"/>
              <w:rPr>
                <w:rFonts w:ascii="Times New Roman" w:hAnsi="Times New Roman" w:eastAsia="宋体"/>
                <w:b/>
                <w:bCs/>
                <w:sz w:val="21"/>
              </w:rPr>
            </w:pPr>
            <w:r>
              <w:rPr>
                <w:rFonts w:hint="eastAsia" w:ascii="Times New Roman" w:hAnsi="Times New Roman" w:eastAsia="宋体"/>
                <w:b/>
                <w:bCs/>
                <w:sz w:val="21"/>
              </w:rPr>
              <w:t>1</w:t>
            </w:r>
          </w:p>
        </w:tc>
      </w:tr>
      <w:tr w14:paraId="594C2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1517D7F8">
            <w:pPr>
              <w:spacing w:before="20" w:after="20" w:line="300" w:lineRule="auto"/>
              <w:rPr>
                <w:rFonts w:hint="eastAsia"/>
              </w:rPr>
            </w:pPr>
          </w:p>
        </w:tc>
        <w:tc>
          <w:tcPr>
            <w:tcW w:w="6723" w:type="dxa"/>
            <w:noWrap w:val="0"/>
            <w:vAlign w:val="center"/>
          </w:tcPr>
          <w:p w14:paraId="3497ADE1">
            <w:pPr>
              <w:spacing w:before="20" w:after="20" w:line="300" w:lineRule="auto"/>
              <w:rPr>
                <w:rFonts w:hint="eastAsia" w:ascii="宋体" w:hAnsi="宋体" w:eastAsia="宋体"/>
                <w:b/>
                <w:bCs/>
                <w:sz w:val="21"/>
              </w:rPr>
            </w:pPr>
            <w:r>
              <w:rPr>
                <w:rFonts w:hint="eastAsia" w:ascii="宋体" w:hAnsi="宋体" w:eastAsia="宋体"/>
                <w:b/>
                <w:bCs/>
                <w:sz w:val="21"/>
              </w:rPr>
              <w:t>2000元以上，不足5000元</w:t>
            </w:r>
          </w:p>
        </w:tc>
        <w:tc>
          <w:tcPr>
            <w:tcW w:w="1103" w:type="dxa"/>
            <w:noWrap w:val="0"/>
            <w:vAlign w:val="center"/>
          </w:tcPr>
          <w:p w14:paraId="64A69979">
            <w:pPr>
              <w:spacing w:before="20" w:after="20" w:line="300" w:lineRule="auto"/>
              <w:jc w:val="center"/>
              <w:rPr>
                <w:rFonts w:ascii="Times New Roman" w:hAnsi="Times New Roman" w:eastAsia="宋体"/>
                <w:b/>
                <w:bCs/>
                <w:sz w:val="21"/>
              </w:rPr>
            </w:pPr>
            <w:r>
              <w:rPr>
                <w:rFonts w:hint="eastAsia" w:ascii="Times New Roman" w:hAnsi="Times New Roman" w:eastAsia="宋体"/>
                <w:b/>
                <w:bCs/>
                <w:sz w:val="21"/>
              </w:rPr>
              <w:t>2</w:t>
            </w:r>
          </w:p>
        </w:tc>
      </w:tr>
      <w:tr w14:paraId="023F7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6CB1D7CE">
            <w:pPr>
              <w:spacing w:before="20" w:after="20" w:line="300" w:lineRule="auto"/>
              <w:rPr>
                <w:rFonts w:hint="eastAsia"/>
              </w:rPr>
            </w:pPr>
          </w:p>
        </w:tc>
        <w:tc>
          <w:tcPr>
            <w:tcW w:w="6723" w:type="dxa"/>
            <w:noWrap w:val="0"/>
            <w:vAlign w:val="center"/>
          </w:tcPr>
          <w:p w14:paraId="511EF275">
            <w:pPr>
              <w:spacing w:before="20" w:after="20" w:line="300" w:lineRule="auto"/>
              <w:rPr>
                <w:rFonts w:hint="eastAsia" w:ascii="宋体" w:hAnsi="宋体" w:eastAsia="宋体"/>
                <w:b/>
                <w:bCs/>
                <w:sz w:val="21"/>
              </w:rPr>
            </w:pPr>
            <w:r>
              <w:rPr>
                <w:rFonts w:hint="eastAsia" w:ascii="宋体" w:hAnsi="宋体" w:eastAsia="宋体"/>
                <w:b/>
                <w:bCs/>
                <w:sz w:val="21"/>
              </w:rPr>
              <w:t>5000元以上，不足1万元</w:t>
            </w:r>
          </w:p>
        </w:tc>
        <w:tc>
          <w:tcPr>
            <w:tcW w:w="1103" w:type="dxa"/>
            <w:noWrap w:val="0"/>
            <w:vAlign w:val="center"/>
          </w:tcPr>
          <w:p w14:paraId="002080A2">
            <w:pPr>
              <w:spacing w:before="20" w:after="20" w:line="300" w:lineRule="auto"/>
              <w:jc w:val="center"/>
              <w:rPr>
                <w:rFonts w:ascii="Times New Roman" w:hAnsi="Times New Roman" w:eastAsia="宋体"/>
                <w:b/>
                <w:bCs/>
                <w:sz w:val="21"/>
              </w:rPr>
            </w:pPr>
            <w:r>
              <w:rPr>
                <w:rFonts w:hint="eastAsia" w:ascii="Times New Roman" w:hAnsi="Times New Roman" w:eastAsia="宋体"/>
                <w:b/>
                <w:bCs/>
                <w:sz w:val="21"/>
              </w:rPr>
              <w:t>3</w:t>
            </w:r>
          </w:p>
        </w:tc>
      </w:tr>
      <w:tr w14:paraId="71F61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6D8D62D5">
            <w:pPr>
              <w:spacing w:before="20" w:after="20" w:line="300" w:lineRule="auto"/>
              <w:rPr>
                <w:rFonts w:hint="eastAsia"/>
              </w:rPr>
            </w:pPr>
          </w:p>
        </w:tc>
        <w:tc>
          <w:tcPr>
            <w:tcW w:w="6723" w:type="dxa"/>
            <w:noWrap w:val="0"/>
            <w:vAlign w:val="center"/>
          </w:tcPr>
          <w:p w14:paraId="59756066">
            <w:pPr>
              <w:spacing w:before="20" w:after="20" w:line="300" w:lineRule="auto"/>
              <w:rPr>
                <w:rFonts w:hint="eastAsia" w:ascii="宋体" w:hAnsi="宋体" w:eastAsia="宋体"/>
                <w:b/>
                <w:bCs/>
                <w:sz w:val="21"/>
              </w:rPr>
            </w:pPr>
            <w:r>
              <w:rPr>
                <w:rFonts w:hint="eastAsia" w:ascii="宋体" w:hAnsi="宋体" w:eastAsia="宋体"/>
                <w:b/>
                <w:bCs/>
                <w:sz w:val="21"/>
              </w:rPr>
              <w:t>1万元以上，不足2万元</w:t>
            </w:r>
          </w:p>
        </w:tc>
        <w:tc>
          <w:tcPr>
            <w:tcW w:w="1103" w:type="dxa"/>
            <w:noWrap w:val="0"/>
            <w:vAlign w:val="center"/>
          </w:tcPr>
          <w:p w14:paraId="249B2C8C">
            <w:pPr>
              <w:spacing w:before="20" w:after="20" w:line="300" w:lineRule="auto"/>
              <w:jc w:val="center"/>
              <w:rPr>
                <w:rFonts w:ascii="Times New Roman" w:hAnsi="Times New Roman" w:eastAsia="宋体"/>
                <w:b/>
                <w:bCs/>
                <w:sz w:val="21"/>
              </w:rPr>
            </w:pPr>
            <w:r>
              <w:rPr>
                <w:rFonts w:hint="eastAsia" w:ascii="Times New Roman" w:hAnsi="Times New Roman" w:eastAsia="宋体"/>
                <w:b/>
                <w:bCs/>
                <w:sz w:val="21"/>
              </w:rPr>
              <w:t>4</w:t>
            </w:r>
          </w:p>
        </w:tc>
      </w:tr>
      <w:tr w14:paraId="4266E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0C00A28F">
            <w:pPr>
              <w:spacing w:before="20" w:after="20" w:line="300" w:lineRule="auto"/>
              <w:rPr>
                <w:rFonts w:hint="eastAsia"/>
              </w:rPr>
            </w:pPr>
          </w:p>
        </w:tc>
        <w:tc>
          <w:tcPr>
            <w:tcW w:w="6723" w:type="dxa"/>
            <w:noWrap w:val="0"/>
            <w:vAlign w:val="center"/>
          </w:tcPr>
          <w:p w14:paraId="18B6C45D">
            <w:pPr>
              <w:spacing w:before="20" w:after="20" w:line="300" w:lineRule="auto"/>
              <w:rPr>
                <w:rFonts w:hint="eastAsia" w:ascii="宋体" w:hAnsi="宋体" w:eastAsia="宋体"/>
                <w:sz w:val="21"/>
              </w:rPr>
            </w:pPr>
            <w:r>
              <w:rPr>
                <w:rFonts w:hint="eastAsia" w:ascii="宋体" w:hAnsi="宋体" w:eastAsia="宋体"/>
                <w:b/>
                <w:bCs/>
                <w:sz w:val="21"/>
              </w:rPr>
              <w:t>2万元以上</w:t>
            </w:r>
          </w:p>
        </w:tc>
        <w:tc>
          <w:tcPr>
            <w:tcW w:w="1103" w:type="dxa"/>
            <w:noWrap w:val="0"/>
            <w:vAlign w:val="center"/>
          </w:tcPr>
          <w:p w14:paraId="55A62832">
            <w:pPr>
              <w:spacing w:before="20" w:after="20" w:line="300" w:lineRule="auto"/>
              <w:jc w:val="center"/>
              <w:rPr>
                <w:rFonts w:ascii="Times New Roman" w:hAnsi="Times New Roman" w:eastAsia="宋体"/>
                <w:sz w:val="21"/>
              </w:rPr>
            </w:pPr>
            <w:r>
              <w:rPr>
                <w:rFonts w:hint="eastAsia" w:ascii="Times New Roman" w:hAnsi="Times New Roman" w:eastAsia="宋体"/>
                <w:b/>
                <w:bCs/>
                <w:sz w:val="21"/>
              </w:rPr>
              <w:t>5</w:t>
            </w:r>
          </w:p>
        </w:tc>
      </w:tr>
    </w:tbl>
    <w:p w14:paraId="1ECAD283">
      <w:pPr>
        <w:spacing w:before="40" w:after="40" w:line="400" w:lineRule="auto"/>
        <w:jc w:val="both"/>
        <w:rPr>
          <w:rFonts w:ascii="Times New Roman" w:hAnsi="Times New Roman" w:eastAsia="黑体"/>
          <w:b/>
          <w:sz w:val="24"/>
        </w:rPr>
      </w:pPr>
      <w:bookmarkStart w:id="9" w:name="_Toc28686"/>
      <w:bookmarkStart w:id="10" w:name="_Toc16604"/>
      <w:bookmarkStart w:id="11" w:name="_Toc1440"/>
      <w:bookmarkStart w:id="12" w:name="_Toc22603"/>
      <w:r>
        <w:rPr>
          <w:rFonts w:hint="eastAsia" w:ascii="Times New Roman" w:hAnsi="Times New Roman" w:eastAsia="黑体"/>
          <w:b/>
          <w:sz w:val="24"/>
        </w:rPr>
        <w:t>4.实施或者指使干扰、破坏生态环境监测设施、设备的行为</w:t>
      </w:r>
      <w:bookmarkEnd w:id="9"/>
      <w:bookmarkEnd w:id="10"/>
    </w:p>
    <w:tbl>
      <w:tblPr>
        <w:tblStyle w:val="8"/>
        <w:tblW w:w="49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77"/>
        <w:gridCol w:w="6864"/>
        <w:gridCol w:w="1033"/>
      </w:tblGrid>
      <w:tr w14:paraId="25CFC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noWrap w:val="0"/>
            <w:tcMar>
              <w:top w:w="0" w:type="dxa"/>
              <w:left w:w="57" w:type="dxa"/>
              <w:bottom w:w="0" w:type="dxa"/>
              <w:right w:w="57" w:type="dxa"/>
            </w:tcMar>
            <w:vAlign w:val="center"/>
          </w:tcPr>
          <w:p w14:paraId="29726D79">
            <w:pPr>
              <w:spacing w:before="20" w:after="20" w:line="300" w:lineRule="auto"/>
              <w:jc w:val="center"/>
              <w:rPr>
                <w:rFonts w:ascii="Times New Roman" w:hAnsi="Times New Roman" w:eastAsia="宋体"/>
                <w:b/>
                <w:sz w:val="21"/>
              </w:rPr>
            </w:pPr>
            <w:r>
              <w:rPr>
                <w:rFonts w:ascii="Times New Roman" w:hAnsi="Times New Roman" w:eastAsia="宋体"/>
                <w:b/>
                <w:sz w:val="21"/>
              </w:rPr>
              <w:t>违反条款</w:t>
            </w:r>
          </w:p>
        </w:tc>
        <w:tc>
          <w:tcPr>
            <w:tcW w:w="4351" w:type="pct"/>
            <w:gridSpan w:val="2"/>
            <w:noWrap w:val="0"/>
            <w:tcMar>
              <w:top w:w="0" w:type="dxa"/>
              <w:left w:w="57" w:type="dxa"/>
              <w:bottom w:w="0" w:type="dxa"/>
              <w:right w:w="57" w:type="dxa"/>
            </w:tcMar>
            <w:vAlign w:val="center"/>
          </w:tcPr>
          <w:p w14:paraId="13511FF1">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1.《中华人民共和国生态环境法典》第八十条第二款 禁止通过侵占、损毁或者擅自移动、改变等方式干扰、破坏生态环境监测设施、设备或者指使干扰、破坏生态环境监测设施、设备。</w:t>
            </w:r>
          </w:p>
          <w:p w14:paraId="07506597">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rFonts w:cs="Times New Roman"/>
                <w:sz w:val="21"/>
                <w:szCs w:val="21"/>
              </w:rPr>
              <w:t>2.</w:t>
            </w:r>
            <w:r>
              <w:rPr>
                <w:rFonts w:hint="eastAsia" w:cs="Times New Roman"/>
                <w:sz w:val="21"/>
                <w:szCs w:val="21"/>
              </w:rPr>
              <w:t>《</w:t>
            </w:r>
            <w:r>
              <w:rPr>
                <w:sz w:val="21"/>
                <w:szCs w:val="21"/>
              </w:rPr>
              <w:t>生态环境监测条例</w:t>
            </w:r>
            <w:r>
              <w:rPr>
                <w:rFonts w:hint="eastAsia"/>
                <w:sz w:val="21"/>
                <w:szCs w:val="21"/>
              </w:rPr>
              <w:t>》</w:t>
            </w:r>
            <w:r>
              <w:rPr>
                <w:sz w:val="21"/>
                <w:szCs w:val="21"/>
              </w:rPr>
              <w:t>（2026修订版）</w:t>
            </w:r>
            <w:r>
              <w:rPr>
                <w:rFonts w:hint="eastAsia"/>
                <w:sz w:val="21"/>
                <w:szCs w:val="21"/>
              </w:rPr>
              <w:t>第十三条第三款 任何单位和个人不得侵占、损毁生态环境质量监测站点及其设施、设备，不得干扰生态环境质量监测站点正常运行。</w:t>
            </w:r>
          </w:p>
          <w:p w14:paraId="09C01267">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3</w:t>
            </w:r>
            <w:r>
              <w:rPr>
                <w:rFonts w:cs="Times New Roman"/>
                <w:sz w:val="21"/>
                <w:szCs w:val="21"/>
              </w:rPr>
              <w:t>.</w:t>
            </w:r>
            <w:r>
              <w:rPr>
                <w:rFonts w:hint="eastAsia" w:cs="Times New Roman"/>
                <w:sz w:val="21"/>
                <w:szCs w:val="21"/>
              </w:rPr>
              <w:t>《排污许可管理条例》</w:t>
            </w:r>
            <w:r>
              <w:rPr>
                <w:rFonts w:cs="Times New Roman"/>
                <w:sz w:val="21"/>
                <w:szCs w:val="21"/>
              </w:rPr>
              <w:t>（2026修订版）第</w:t>
            </w:r>
            <w:r>
              <w:rPr>
                <w:rFonts w:hint="eastAsia" w:cs="Times New Roman"/>
                <w:sz w:val="21"/>
                <w:szCs w:val="21"/>
              </w:rPr>
              <w:t>二十</w:t>
            </w:r>
            <w:r>
              <w:rPr>
                <w:rFonts w:cs="Times New Roman"/>
                <w:sz w:val="21"/>
                <w:szCs w:val="21"/>
              </w:rPr>
              <w:t>条</w:t>
            </w:r>
            <w:r>
              <w:rPr>
                <w:rFonts w:hint="eastAsia" w:cs="Times New Roman"/>
                <w:sz w:val="21"/>
                <w:szCs w:val="21"/>
              </w:rPr>
              <w:t>第一款 实行排污许可重点管理的排污单位，应当依法安装、使用、维护污染物排放自动监测设备，并与生态环境主管部门的监控设备联网。</w:t>
            </w:r>
          </w:p>
          <w:p w14:paraId="21501342">
            <w:pPr>
              <w:pStyle w:val="20"/>
              <w:autoSpaceDE w:val="0"/>
              <w:autoSpaceDN w:val="0"/>
              <w:adjustRightInd w:val="0"/>
              <w:snapToGrid w:val="0"/>
              <w:spacing w:before="20" w:after="20" w:line="300" w:lineRule="auto"/>
              <w:ind w:left="0" w:right="0" w:rightChars="0" w:firstLine="0"/>
              <w:textAlignment w:val="baseline"/>
              <w:rPr>
                <w:rFonts w:hint="eastAsia"/>
                <w:b/>
                <w:bCs/>
                <w:sz w:val="21"/>
                <w:szCs w:val="21"/>
              </w:rPr>
            </w:pPr>
            <w:r>
              <w:rPr>
                <w:rFonts w:hint="eastAsia" w:cs="Times New Roman"/>
                <w:b/>
                <w:bCs/>
                <w:color w:val="auto"/>
                <w:sz w:val="21"/>
                <w:szCs w:val="21"/>
              </w:rPr>
              <w:t>4.</w:t>
            </w:r>
            <w:r>
              <w:rPr>
                <w:rFonts w:cs="Times New Roman"/>
                <w:b/>
                <w:bCs/>
                <w:color w:val="auto"/>
                <w:sz w:val="21"/>
                <w:szCs w:val="21"/>
              </w:rPr>
              <w:t>《昆明市大气污染防治条例》（2026修订版）第十九条禁止通过侵占、损毁或者擅自移动、改变等方式干扰、破坏大气质量监测设施、大气污染物排放自动监测设备或者指使干扰、破坏大气质量监测设施、大气污染物排放自动监测设备。</w:t>
            </w:r>
          </w:p>
        </w:tc>
      </w:tr>
      <w:tr w14:paraId="088EE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noWrap w:val="0"/>
            <w:tcMar>
              <w:top w:w="0" w:type="dxa"/>
              <w:left w:w="57" w:type="dxa"/>
              <w:bottom w:w="0" w:type="dxa"/>
              <w:right w:w="57" w:type="dxa"/>
            </w:tcMar>
            <w:vAlign w:val="center"/>
          </w:tcPr>
          <w:p w14:paraId="04F8D874">
            <w:pPr>
              <w:spacing w:before="20" w:after="20" w:line="300" w:lineRule="auto"/>
              <w:jc w:val="center"/>
              <w:rPr>
                <w:rFonts w:ascii="Times New Roman" w:hAnsi="Times New Roman" w:eastAsia="宋体"/>
                <w:b/>
                <w:sz w:val="21"/>
              </w:rPr>
            </w:pPr>
            <w:r>
              <w:rPr>
                <w:rFonts w:ascii="Times New Roman" w:hAnsi="Times New Roman" w:eastAsia="宋体"/>
                <w:b/>
                <w:sz w:val="21"/>
              </w:rPr>
              <w:t>处罚依据</w:t>
            </w:r>
          </w:p>
        </w:tc>
        <w:tc>
          <w:tcPr>
            <w:tcW w:w="4351" w:type="pct"/>
            <w:gridSpan w:val="2"/>
            <w:noWrap w:val="0"/>
            <w:tcMar>
              <w:top w:w="0" w:type="dxa"/>
              <w:left w:w="57" w:type="dxa"/>
              <w:bottom w:w="0" w:type="dxa"/>
              <w:right w:w="57" w:type="dxa"/>
            </w:tcMar>
            <w:vAlign w:val="center"/>
          </w:tcPr>
          <w:p w14:paraId="72527DFA">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1.</w:t>
            </w:r>
            <w:r>
              <w:rPr>
                <w:rFonts w:hint="eastAsia" w:cs="Times New Roman"/>
                <w:sz w:val="21"/>
                <w:szCs w:val="21"/>
              </w:rPr>
              <w:t xml:space="preserve">《中华人民共和国生态环境法典》第一千零九十三条 </w:t>
            </w:r>
            <w:r>
              <w:rPr>
                <w:rFonts w:cs="Times New Roman"/>
                <w:sz w:val="21"/>
                <w:szCs w:val="21"/>
              </w:rPr>
              <w:t>违反本法规定，单位和个人以侵占、损毁或者擅自移动、改变等方式干扰、破坏生态环境监测设施、设备或者指使干扰、破坏生态环境监测设施、设备的，由负有生态环境保护监督管理职责的部门、机构按照职责分工责令改正，处二万元以上二十万元以下的罚款；构成违反治安管理行为的，由公安机关依法予以处罚。</w:t>
            </w:r>
          </w:p>
          <w:p w14:paraId="0E576866">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2.《</w:t>
            </w:r>
            <w:r>
              <w:rPr>
                <w:sz w:val="21"/>
                <w:szCs w:val="21"/>
              </w:rPr>
              <w:t>生态环境监测条例</w:t>
            </w:r>
            <w:r>
              <w:rPr>
                <w:rFonts w:hint="eastAsia"/>
                <w:sz w:val="21"/>
                <w:szCs w:val="21"/>
              </w:rPr>
              <w:t>》</w:t>
            </w:r>
            <w:r>
              <w:rPr>
                <w:sz w:val="21"/>
                <w:szCs w:val="21"/>
              </w:rPr>
              <w:t>（2026修订版）</w:t>
            </w:r>
            <w:r>
              <w:rPr>
                <w:rFonts w:hint="eastAsia"/>
                <w:sz w:val="21"/>
                <w:szCs w:val="21"/>
              </w:rPr>
              <w:t>第四十条 侵占、损毁生态环境质量监测站点及其设施、设备，或者干扰生态环境质量监测站点正常运行的，由生态环境主管部门或者其他有关部门依据职责责令改正，处2万元以上20万元以下的罚款。</w:t>
            </w:r>
          </w:p>
          <w:p w14:paraId="608BDA9E">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3</w:t>
            </w:r>
            <w:r>
              <w:rPr>
                <w:rFonts w:cs="Times New Roman"/>
                <w:sz w:val="21"/>
                <w:szCs w:val="21"/>
              </w:rPr>
              <w:t>.</w:t>
            </w:r>
            <w:r>
              <w:rPr>
                <w:rFonts w:hint="eastAsia" w:cs="Times New Roman"/>
                <w:sz w:val="21"/>
                <w:szCs w:val="21"/>
              </w:rPr>
              <w:t>《排污许可管理条例》</w:t>
            </w:r>
            <w:r>
              <w:rPr>
                <w:rFonts w:cs="Times New Roman"/>
                <w:sz w:val="21"/>
                <w:szCs w:val="21"/>
              </w:rPr>
              <w:t>（2026修订版）第三十六条</w:t>
            </w:r>
            <w:r>
              <w:rPr>
                <w:rFonts w:hint="eastAsia" w:cs="Times New Roman"/>
                <w:sz w:val="21"/>
                <w:szCs w:val="21"/>
              </w:rPr>
              <w:t>第三项</w:t>
            </w:r>
            <w:r>
              <w:rPr>
                <w:rFonts w:cs="Times New Roman"/>
                <w:sz w:val="21"/>
                <w:szCs w:val="21"/>
              </w:rPr>
              <w:t xml:space="preserve"> 违反本条例规定，排污单位有下列行为之一的，由生态环境主管部门责令改正，处2万元以上20万元以下的罚款；拒不改正的，责令停产整治：</w:t>
            </w:r>
          </w:p>
          <w:p w14:paraId="50024C83">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（三）损毁或者擅自移动、改变污染物排放自动监测设备。</w:t>
            </w:r>
          </w:p>
          <w:p w14:paraId="0DDA9463">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p>
        </w:tc>
      </w:tr>
      <w:tr w14:paraId="6A765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noWrap w:val="0"/>
            <w:tcMar>
              <w:top w:w="0" w:type="dxa"/>
              <w:left w:w="57" w:type="dxa"/>
              <w:bottom w:w="0" w:type="dxa"/>
              <w:right w:w="57" w:type="dxa"/>
            </w:tcMar>
            <w:vAlign w:val="center"/>
          </w:tcPr>
          <w:p w14:paraId="35A31DB3">
            <w:pPr>
              <w:topLinePunct/>
              <w:autoSpaceDE w:val="0"/>
              <w:autoSpaceDN w:val="0"/>
              <w:adjustRightInd w:val="0"/>
              <w:snapToGrid w:val="0"/>
              <w:spacing w:before="20" w:after="20" w:line="300" w:lineRule="auto"/>
              <w:jc w:val="center"/>
              <w:textAlignment w:val="baseline"/>
              <w:rPr>
                <w:rFonts w:hint="eastAsia" w:ascii="宋体" w:hAnsi="宋体" w:eastAsia="宋体"/>
                <w:b/>
                <w:bCs/>
                <w:sz w:val="21"/>
                <w:szCs w:val="21"/>
              </w:rPr>
            </w:pPr>
            <w:r>
              <w:rPr>
                <w:rFonts w:ascii="宋体" w:hAnsi="宋体" w:eastAsia="宋体"/>
                <w:b/>
                <w:bCs/>
                <w:spacing w:val="7"/>
                <w:sz w:val="21"/>
                <w:szCs w:val="21"/>
              </w:rPr>
              <w:t>裁量因素</w:t>
            </w:r>
          </w:p>
        </w:tc>
        <w:tc>
          <w:tcPr>
            <w:tcW w:w="3782" w:type="pct"/>
            <w:noWrap w:val="0"/>
            <w:tcMar>
              <w:top w:w="0" w:type="dxa"/>
              <w:left w:w="57" w:type="dxa"/>
              <w:bottom w:w="0" w:type="dxa"/>
              <w:right w:w="57" w:type="dxa"/>
            </w:tcMar>
            <w:vAlign w:val="center"/>
          </w:tcPr>
          <w:p w14:paraId="306DA4FE">
            <w:pPr>
              <w:topLinePunct/>
              <w:autoSpaceDE w:val="0"/>
              <w:autoSpaceDN w:val="0"/>
              <w:adjustRightInd w:val="0"/>
              <w:snapToGrid w:val="0"/>
              <w:spacing w:before="20" w:after="20" w:line="300" w:lineRule="auto"/>
              <w:jc w:val="center"/>
              <w:textAlignment w:val="baseline"/>
              <w:rPr>
                <w:rFonts w:hint="eastAsia" w:ascii="宋体" w:hAnsi="宋体" w:eastAsia="宋体"/>
                <w:b/>
                <w:bCs/>
                <w:sz w:val="21"/>
                <w:szCs w:val="21"/>
              </w:rPr>
            </w:pPr>
            <w:r>
              <w:rPr>
                <w:rFonts w:ascii="宋体" w:hAnsi="宋体" w:eastAsia="宋体"/>
                <w:b/>
                <w:bCs/>
                <w:spacing w:val="7"/>
                <w:sz w:val="21"/>
                <w:szCs w:val="21"/>
              </w:rPr>
              <w:t>裁量因子</w:t>
            </w:r>
          </w:p>
        </w:tc>
        <w:tc>
          <w:tcPr>
            <w:tcW w:w="569" w:type="pct"/>
            <w:noWrap w:val="0"/>
            <w:tcMar>
              <w:top w:w="0" w:type="dxa"/>
              <w:left w:w="57" w:type="dxa"/>
              <w:bottom w:w="0" w:type="dxa"/>
              <w:right w:w="57" w:type="dxa"/>
            </w:tcMar>
            <w:vAlign w:val="center"/>
          </w:tcPr>
          <w:p w14:paraId="633EC912">
            <w:pPr>
              <w:topLinePunct/>
              <w:autoSpaceDE w:val="0"/>
              <w:autoSpaceDN w:val="0"/>
              <w:adjustRightInd w:val="0"/>
              <w:snapToGrid w:val="0"/>
              <w:spacing w:before="20" w:after="20" w:line="300" w:lineRule="auto"/>
              <w:jc w:val="center"/>
              <w:textAlignment w:val="baseline"/>
              <w:rPr>
                <w:rFonts w:hint="eastAsia" w:ascii="宋体" w:hAnsi="宋体" w:eastAsia="宋体"/>
                <w:b/>
                <w:bCs/>
                <w:sz w:val="21"/>
                <w:szCs w:val="21"/>
              </w:rPr>
            </w:pPr>
            <w:r>
              <w:rPr>
                <w:rFonts w:ascii="宋体" w:hAnsi="宋体" w:eastAsia="宋体"/>
                <w:b/>
                <w:bCs/>
                <w:spacing w:val="7"/>
                <w:sz w:val="21"/>
                <w:szCs w:val="21"/>
              </w:rPr>
              <w:t>裁量等级</w:t>
            </w:r>
          </w:p>
        </w:tc>
      </w:tr>
      <w:tr w14:paraId="1A01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restart"/>
            <w:noWrap w:val="0"/>
            <w:tcMar>
              <w:top w:w="0" w:type="dxa"/>
              <w:left w:w="57" w:type="dxa"/>
              <w:bottom w:w="0" w:type="dxa"/>
              <w:right w:w="57" w:type="dxa"/>
            </w:tcMar>
            <w:vAlign w:val="center"/>
          </w:tcPr>
          <w:p w14:paraId="546DF9C7">
            <w:pPr>
              <w:spacing w:before="20" w:after="20" w:line="300" w:lineRule="auto"/>
              <w:jc w:val="center"/>
              <w:rPr>
                <w:rFonts w:ascii="Times New Roman" w:hAnsi="Times New Roman" w:eastAsia="宋体"/>
                <w:b/>
                <w:sz w:val="21"/>
              </w:rPr>
            </w:pPr>
            <w:r>
              <w:rPr>
                <w:rFonts w:ascii="Times New Roman" w:hAnsi="Times New Roman" w:eastAsia="宋体"/>
                <w:b/>
                <w:sz w:val="21"/>
              </w:rPr>
              <w:t>废气类别</w:t>
            </w:r>
          </w:p>
        </w:tc>
        <w:tc>
          <w:tcPr>
            <w:tcW w:w="3782" w:type="pct"/>
            <w:noWrap w:val="0"/>
            <w:tcMar>
              <w:top w:w="0" w:type="dxa"/>
              <w:left w:w="57" w:type="dxa"/>
              <w:bottom w:w="0" w:type="dxa"/>
              <w:right w:w="57" w:type="dxa"/>
            </w:tcMar>
            <w:vAlign w:val="center"/>
          </w:tcPr>
          <w:p w14:paraId="3CB1B6A3">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一般工业废气/含恶臭污染物的废气/医疗</w:t>
            </w:r>
            <w:r>
              <w:rPr>
                <w:rFonts w:hint="eastAsia" w:cs="Times New Roman"/>
                <w:sz w:val="21"/>
                <w:szCs w:val="21"/>
              </w:rPr>
              <w:t>废气</w:t>
            </w:r>
            <w:r>
              <w:rPr>
                <w:rFonts w:cs="Times New Roman"/>
                <w:sz w:val="21"/>
                <w:szCs w:val="21"/>
              </w:rPr>
              <w:t>/实验室</w:t>
            </w:r>
            <w:r>
              <w:rPr>
                <w:rFonts w:hint="eastAsia" w:cs="Times New Roman"/>
                <w:sz w:val="21"/>
                <w:szCs w:val="21"/>
              </w:rPr>
              <w:t>废气</w:t>
            </w:r>
          </w:p>
        </w:tc>
        <w:tc>
          <w:tcPr>
            <w:tcW w:w="569" w:type="pct"/>
            <w:noWrap w:val="0"/>
            <w:tcMar>
              <w:top w:w="0" w:type="dxa"/>
              <w:left w:w="57" w:type="dxa"/>
              <w:bottom w:w="0" w:type="dxa"/>
              <w:right w:w="57" w:type="dxa"/>
            </w:tcMar>
            <w:vAlign w:val="center"/>
          </w:tcPr>
          <w:p w14:paraId="296D728C">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4A54C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2836D86E">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82" w:type="pct"/>
            <w:noWrap w:val="0"/>
            <w:tcMar>
              <w:top w:w="0" w:type="dxa"/>
              <w:left w:w="57" w:type="dxa"/>
              <w:bottom w:w="0" w:type="dxa"/>
              <w:right w:w="57" w:type="dxa"/>
            </w:tcMar>
            <w:vAlign w:val="center"/>
          </w:tcPr>
          <w:p w14:paraId="589F43DE">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火电、钢铁、石化、水泥、炼焦、有色、化工废气、烟尘/燃煤锅炉废气、烟尘</w:t>
            </w:r>
          </w:p>
        </w:tc>
        <w:tc>
          <w:tcPr>
            <w:tcW w:w="569" w:type="pct"/>
            <w:noWrap w:val="0"/>
            <w:tcMar>
              <w:top w:w="0" w:type="dxa"/>
              <w:left w:w="57" w:type="dxa"/>
              <w:bottom w:w="0" w:type="dxa"/>
              <w:right w:w="57" w:type="dxa"/>
            </w:tcMar>
            <w:vAlign w:val="center"/>
          </w:tcPr>
          <w:p w14:paraId="5B982428">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0F983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46D8FF48">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82" w:type="pct"/>
            <w:noWrap w:val="0"/>
            <w:tcMar>
              <w:top w:w="0" w:type="dxa"/>
              <w:left w:w="57" w:type="dxa"/>
              <w:bottom w:w="0" w:type="dxa"/>
              <w:right w:w="57" w:type="dxa"/>
            </w:tcMar>
            <w:vAlign w:val="center"/>
          </w:tcPr>
          <w:p w14:paraId="67B8ECAF">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含</w:t>
            </w:r>
            <w:r>
              <w:rPr>
                <w:rFonts w:hint="eastAsia" w:cs="Times New Roman"/>
                <w:sz w:val="21"/>
                <w:szCs w:val="21"/>
              </w:rPr>
              <w:t>其他</w:t>
            </w:r>
            <w:r>
              <w:rPr>
                <w:rFonts w:cs="Times New Roman"/>
                <w:sz w:val="21"/>
                <w:szCs w:val="21"/>
              </w:rPr>
              <w:t>有毒有害物质的废气</w:t>
            </w:r>
          </w:p>
        </w:tc>
        <w:tc>
          <w:tcPr>
            <w:tcW w:w="569" w:type="pct"/>
            <w:noWrap w:val="0"/>
            <w:tcMar>
              <w:top w:w="0" w:type="dxa"/>
              <w:left w:w="57" w:type="dxa"/>
              <w:bottom w:w="0" w:type="dxa"/>
              <w:right w:w="57" w:type="dxa"/>
            </w:tcMar>
            <w:vAlign w:val="center"/>
          </w:tcPr>
          <w:p w14:paraId="7BBCAA10">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1453E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restart"/>
            <w:noWrap w:val="0"/>
            <w:tcMar>
              <w:top w:w="0" w:type="dxa"/>
              <w:left w:w="57" w:type="dxa"/>
              <w:bottom w:w="0" w:type="dxa"/>
              <w:right w:w="57" w:type="dxa"/>
            </w:tcMar>
            <w:vAlign w:val="center"/>
          </w:tcPr>
          <w:p w14:paraId="25A86C65">
            <w:pPr>
              <w:spacing w:before="20" w:after="20" w:line="300" w:lineRule="auto"/>
              <w:jc w:val="center"/>
              <w:rPr>
                <w:rFonts w:ascii="Times New Roman" w:hAnsi="Times New Roman" w:eastAsia="宋体"/>
                <w:b/>
                <w:sz w:val="21"/>
              </w:rPr>
            </w:pPr>
            <w:r>
              <w:rPr>
                <w:rFonts w:hint="eastAsia" w:ascii="Times New Roman" w:hAnsi="Times New Roman" w:eastAsia="宋体"/>
                <w:b/>
                <w:sz w:val="21"/>
              </w:rPr>
              <w:t>废水类别</w:t>
            </w:r>
          </w:p>
        </w:tc>
        <w:tc>
          <w:tcPr>
            <w:tcW w:w="3782" w:type="pct"/>
            <w:noWrap w:val="0"/>
            <w:tcMar>
              <w:top w:w="0" w:type="dxa"/>
              <w:left w:w="57" w:type="dxa"/>
              <w:bottom w:w="0" w:type="dxa"/>
              <w:right w:w="57" w:type="dxa"/>
            </w:tcMar>
            <w:vAlign w:val="center"/>
          </w:tcPr>
          <w:p w14:paraId="7E5C63CE">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一般工业废水、规模化以上养殖企业养殖废水</w:t>
            </w:r>
          </w:p>
        </w:tc>
        <w:tc>
          <w:tcPr>
            <w:tcW w:w="569" w:type="pct"/>
            <w:noWrap w:val="0"/>
            <w:tcMar>
              <w:top w:w="0" w:type="dxa"/>
              <w:left w:w="57" w:type="dxa"/>
              <w:bottom w:w="0" w:type="dxa"/>
              <w:right w:w="57" w:type="dxa"/>
            </w:tcMar>
            <w:vAlign w:val="center"/>
          </w:tcPr>
          <w:p w14:paraId="77665E78">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hint="eastAsia" w:ascii="宋体" w:hAnsi="宋体" w:eastAsia="宋体"/>
                <w:sz w:val="21"/>
                <w:szCs w:val="21"/>
              </w:rPr>
              <w:t>1</w:t>
            </w:r>
          </w:p>
        </w:tc>
      </w:tr>
      <w:tr w14:paraId="5B4C0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2927FEF5">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82" w:type="pct"/>
            <w:noWrap w:val="0"/>
            <w:tcMar>
              <w:top w:w="0" w:type="dxa"/>
              <w:left w:w="57" w:type="dxa"/>
              <w:bottom w:w="0" w:type="dxa"/>
              <w:right w:w="57" w:type="dxa"/>
            </w:tcMar>
            <w:vAlign w:val="center"/>
          </w:tcPr>
          <w:p w14:paraId="77C50615">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含</w:t>
            </w:r>
            <w:r>
              <w:rPr>
                <w:rFonts w:hint="eastAsia" w:cs="Times New Roman"/>
                <w:sz w:val="21"/>
                <w:szCs w:val="21"/>
              </w:rPr>
              <w:t>其他</w:t>
            </w:r>
            <w:r>
              <w:rPr>
                <w:rFonts w:cs="Times New Roman"/>
                <w:sz w:val="21"/>
                <w:szCs w:val="21"/>
              </w:rPr>
              <w:t>有毒有害污染物的废水、医疗废水</w:t>
            </w:r>
          </w:p>
        </w:tc>
        <w:tc>
          <w:tcPr>
            <w:tcW w:w="569" w:type="pct"/>
            <w:noWrap w:val="0"/>
            <w:tcMar>
              <w:top w:w="0" w:type="dxa"/>
              <w:left w:w="57" w:type="dxa"/>
              <w:bottom w:w="0" w:type="dxa"/>
              <w:right w:w="57" w:type="dxa"/>
            </w:tcMar>
            <w:vAlign w:val="center"/>
          </w:tcPr>
          <w:p w14:paraId="1C3745BC">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hint="eastAsia" w:ascii="宋体" w:hAnsi="宋体" w:eastAsia="宋体"/>
                <w:sz w:val="21"/>
                <w:szCs w:val="21"/>
              </w:rPr>
              <w:t>3</w:t>
            </w:r>
          </w:p>
        </w:tc>
      </w:tr>
      <w:tr w14:paraId="16AD3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68E4234E">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82" w:type="pct"/>
            <w:noWrap w:val="0"/>
            <w:tcMar>
              <w:top w:w="0" w:type="dxa"/>
              <w:left w:w="57" w:type="dxa"/>
              <w:bottom w:w="0" w:type="dxa"/>
              <w:right w:w="57" w:type="dxa"/>
            </w:tcMar>
            <w:vAlign w:val="center"/>
          </w:tcPr>
          <w:p w14:paraId="3E4D0090">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含</w:t>
            </w:r>
            <w:r>
              <w:rPr>
                <w:rFonts w:hint="eastAsia" w:cs="Times New Roman"/>
                <w:sz w:val="21"/>
                <w:szCs w:val="21"/>
              </w:rPr>
              <w:t>第</w:t>
            </w:r>
            <w:r>
              <w:rPr>
                <w:rFonts w:cs="Times New Roman"/>
                <w:sz w:val="21"/>
                <w:szCs w:val="21"/>
              </w:rPr>
              <w:t>一类污染物或重金属、放射性物质的</w:t>
            </w:r>
            <w:r>
              <w:rPr>
                <w:rFonts w:hint="eastAsia" w:cs="Times New Roman"/>
                <w:sz w:val="21"/>
                <w:szCs w:val="21"/>
              </w:rPr>
              <w:t>废水</w:t>
            </w:r>
          </w:p>
        </w:tc>
        <w:tc>
          <w:tcPr>
            <w:tcW w:w="569" w:type="pct"/>
            <w:noWrap w:val="0"/>
            <w:tcMar>
              <w:top w:w="0" w:type="dxa"/>
              <w:left w:w="57" w:type="dxa"/>
              <w:bottom w:w="0" w:type="dxa"/>
              <w:right w:w="57" w:type="dxa"/>
            </w:tcMar>
            <w:vAlign w:val="center"/>
          </w:tcPr>
          <w:p w14:paraId="1A906CFD">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hint="eastAsia" w:ascii="宋体" w:hAnsi="宋体" w:eastAsia="宋体"/>
                <w:sz w:val="21"/>
                <w:szCs w:val="21"/>
              </w:rPr>
              <w:t>5</w:t>
            </w:r>
          </w:p>
        </w:tc>
      </w:tr>
      <w:tr w14:paraId="44CC8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restart"/>
            <w:noWrap w:val="0"/>
            <w:tcMar>
              <w:top w:w="0" w:type="dxa"/>
              <w:left w:w="57" w:type="dxa"/>
              <w:bottom w:w="0" w:type="dxa"/>
              <w:right w:w="57" w:type="dxa"/>
            </w:tcMar>
            <w:vAlign w:val="center"/>
          </w:tcPr>
          <w:p w14:paraId="7D274718">
            <w:pPr>
              <w:spacing w:before="20" w:after="20" w:line="300" w:lineRule="auto"/>
              <w:jc w:val="center"/>
              <w:rPr>
                <w:rFonts w:ascii="Times New Roman" w:hAnsi="Times New Roman" w:eastAsia="宋体"/>
                <w:b/>
                <w:sz w:val="21"/>
              </w:rPr>
            </w:pPr>
            <w:r>
              <w:rPr>
                <w:rFonts w:hint="eastAsia" w:ascii="Times New Roman" w:hAnsi="Times New Roman" w:eastAsia="宋体"/>
                <w:b/>
                <w:sz w:val="21"/>
              </w:rPr>
              <w:t>声环境功能区类别</w:t>
            </w:r>
          </w:p>
        </w:tc>
        <w:tc>
          <w:tcPr>
            <w:tcW w:w="3782" w:type="pct"/>
            <w:noWrap w:val="0"/>
            <w:tcMar>
              <w:top w:w="0" w:type="dxa"/>
              <w:left w:w="57" w:type="dxa"/>
              <w:bottom w:w="0" w:type="dxa"/>
              <w:right w:w="57" w:type="dxa"/>
            </w:tcMar>
            <w:vAlign w:val="center"/>
          </w:tcPr>
          <w:p w14:paraId="2112694C">
            <w:pPr>
              <w:autoSpaceDE w:val="0"/>
              <w:autoSpaceDN w:val="0"/>
              <w:adjustRightInd w:val="0"/>
              <w:snapToGrid w:val="0"/>
              <w:spacing w:before="20" w:after="20" w:line="300" w:lineRule="auto"/>
              <w:textAlignment w:val="baseline"/>
              <w:rPr>
                <w:rFonts w:hint="eastAsia" w:ascii="宋体" w:hAnsi="宋体" w:eastAsia="宋体"/>
                <w:sz w:val="21"/>
                <w:szCs w:val="21"/>
              </w:rPr>
            </w:pPr>
            <w:r>
              <w:rPr>
                <w:rFonts w:hint="eastAsia" w:ascii="宋体" w:hAnsi="宋体" w:eastAsia="宋体"/>
                <w:sz w:val="21"/>
                <w:szCs w:val="21"/>
              </w:rPr>
              <w:t>4</w:t>
            </w:r>
            <w:r>
              <w:rPr>
                <w:rFonts w:ascii="宋体" w:hAnsi="宋体" w:eastAsia="宋体"/>
                <w:sz w:val="21"/>
                <w:szCs w:val="21"/>
              </w:rPr>
              <w:t>类</w:t>
            </w:r>
            <w:r>
              <w:rPr>
                <w:rFonts w:hint="eastAsia" w:ascii="宋体" w:hAnsi="宋体" w:eastAsia="宋体"/>
                <w:sz w:val="21"/>
                <w:szCs w:val="21"/>
              </w:rPr>
              <w:t>声环境</w:t>
            </w:r>
            <w:r>
              <w:rPr>
                <w:rFonts w:ascii="宋体" w:hAnsi="宋体" w:eastAsia="宋体"/>
                <w:sz w:val="21"/>
                <w:szCs w:val="21"/>
              </w:rPr>
              <w:t>功能区</w:t>
            </w:r>
          </w:p>
        </w:tc>
        <w:tc>
          <w:tcPr>
            <w:tcW w:w="569" w:type="pct"/>
            <w:noWrap w:val="0"/>
            <w:tcMar>
              <w:top w:w="0" w:type="dxa"/>
              <w:left w:w="57" w:type="dxa"/>
              <w:bottom w:w="0" w:type="dxa"/>
              <w:right w:w="57" w:type="dxa"/>
            </w:tcMar>
            <w:vAlign w:val="center"/>
          </w:tcPr>
          <w:p w14:paraId="360F97AD">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329A6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34CBB2BB">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82" w:type="pct"/>
            <w:noWrap w:val="0"/>
            <w:tcMar>
              <w:top w:w="0" w:type="dxa"/>
              <w:left w:w="57" w:type="dxa"/>
              <w:bottom w:w="0" w:type="dxa"/>
              <w:right w:w="57" w:type="dxa"/>
            </w:tcMar>
            <w:vAlign w:val="center"/>
          </w:tcPr>
          <w:p w14:paraId="3B8DC548">
            <w:pPr>
              <w:autoSpaceDE w:val="0"/>
              <w:autoSpaceDN w:val="0"/>
              <w:adjustRightInd w:val="0"/>
              <w:snapToGrid w:val="0"/>
              <w:spacing w:before="20" w:after="20" w:line="300" w:lineRule="auto"/>
              <w:textAlignment w:val="baseline"/>
              <w:rPr>
                <w:rFonts w:hint="eastAsia" w:ascii="宋体" w:hAnsi="宋体" w:eastAsia="宋体"/>
                <w:sz w:val="21"/>
                <w:szCs w:val="21"/>
              </w:rPr>
            </w:pPr>
            <w:r>
              <w:rPr>
                <w:rFonts w:hint="eastAsia" w:ascii="宋体" w:hAnsi="宋体" w:eastAsia="宋体"/>
                <w:sz w:val="21"/>
                <w:szCs w:val="21"/>
              </w:rPr>
              <w:t>3</w:t>
            </w:r>
            <w:r>
              <w:rPr>
                <w:rFonts w:ascii="宋体" w:hAnsi="宋体" w:eastAsia="宋体"/>
                <w:sz w:val="21"/>
                <w:szCs w:val="21"/>
              </w:rPr>
              <w:t>类</w:t>
            </w:r>
            <w:r>
              <w:rPr>
                <w:rFonts w:hint="eastAsia" w:ascii="宋体" w:hAnsi="宋体" w:eastAsia="宋体"/>
                <w:sz w:val="21"/>
                <w:szCs w:val="21"/>
              </w:rPr>
              <w:t>声环境</w:t>
            </w:r>
            <w:r>
              <w:rPr>
                <w:rFonts w:ascii="宋体" w:hAnsi="宋体" w:eastAsia="宋体"/>
                <w:sz w:val="21"/>
                <w:szCs w:val="21"/>
              </w:rPr>
              <w:t>功能区</w:t>
            </w:r>
          </w:p>
        </w:tc>
        <w:tc>
          <w:tcPr>
            <w:tcW w:w="569" w:type="pct"/>
            <w:noWrap w:val="0"/>
            <w:tcMar>
              <w:top w:w="0" w:type="dxa"/>
              <w:left w:w="57" w:type="dxa"/>
              <w:bottom w:w="0" w:type="dxa"/>
              <w:right w:w="57" w:type="dxa"/>
            </w:tcMar>
            <w:vAlign w:val="center"/>
          </w:tcPr>
          <w:p w14:paraId="162CD0C3">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2</w:t>
            </w:r>
          </w:p>
        </w:tc>
      </w:tr>
      <w:tr w14:paraId="35626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5EC5A77C">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82" w:type="pct"/>
            <w:noWrap w:val="0"/>
            <w:tcMar>
              <w:top w:w="0" w:type="dxa"/>
              <w:left w:w="57" w:type="dxa"/>
              <w:bottom w:w="0" w:type="dxa"/>
              <w:right w:w="57" w:type="dxa"/>
            </w:tcMar>
            <w:vAlign w:val="center"/>
          </w:tcPr>
          <w:p w14:paraId="7CC4E91D">
            <w:pPr>
              <w:autoSpaceDE w:val="0"/>
              <w:autoSpaceDN w:val="0"/>
              <w:adjustRightInd w:val="0"/>
              <w:snapToGrid w:val="0"/>
              <w:spacing w:before="20" w:after="20" w:line="300" w:lineRule="auto"/>
              <w:textAlignment w:val="baseline"/>
              <w:rPr>
                <w:rFonts w:hint="eastAsia" w:ascii="宋体" w:hAnsi="宋体" w:eastAsia="宋体"/>
                <w:sz w:val="21"/>
                <w:szCs w:val="21"/>
              </w:rPr>
            </w:pPr>
            <w:r>
              <w:rPr>
                <w:rFonts w:hint="eastAsia" w:ascii="宋体" w:hAnsi="宋体" w:eastAsia="宋体"/>
                <w:sz w:val="21"/>
                <w:szCs w:val="21"/>
              </w:rPr>
              <w:t>2</w:t>
            </w:r>
            <w:r>
              <w:rPr>
                <w:rFonts w:ascii="宋体" w:hAnsi="宋体" w:eastAsia="宋体"/>
                <w:sz w:val="21"/>
                <w:szCs w:val="21"/>
              </w:rPr>
              <w:t>类</w:t>
            </w:r>
            <w:r>
              <w:rPr>
                <w:rFonts w:hint="eastAsia" w:ascii="宋体" w:hAnsi="宋体" w:eastAsia="宋体"/>
                <w:sz w:val="21"/>
                <w:szCs w:val="21"/>
              </w:rPr>
              <w:t>声环境</w:t>
            </w:r>
            <w:r>
              <w:rPr>
                <w:rFonts w:ascii="宋体" w:hAnsi="宋体" w:eastAsia="宋体"/>
                <w:sz w:val="21"/>
                <w:szCs w:val="21"/>
              </w:rPr>
              <w:t>功能区</w:t>
            </w:r>
          </w:p>
        </w:tc>
        <w:tc>
          <w:tcPr>
            <w:tcW w:w="569" w:type="pct"/>
            <w:noWrap w:val="0"/>
            <w:tcMar>
              <w:top w:w="0" w:type="dxa"/>
              <w:left w:w="57" w:type="dxa"/>
              <w:bottom w:w="0" w:type="dxa"/>
              <w:right w:w="57" w:type="dxa"/>
            </w:tcMar>
            <w:vAlign w:val="center"/>
          </w:tcPr>
          <w:p w14:paraId="54F4F774">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7C2C0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19442496">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82" w:type="pct"/>
            <w:noWrap w:val="0"/>
            <w:tcMar>
              <w:top w:w="0" w:type="dxa"/>
              <w:left w:w="57" w:type="dxa"/>
              <w:bottom w:w="0" w:type="dxa"/>
              <w:right w:w="57" w:type="dxa"/>
            </w:tcMar>
            <w:vAlign w:val="center"/>
          </w:tcPr>
          <w:p w14:paraId="7554A879">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1</w:t>
            </w:r>
            <w:r>
              <w:rPr>
                <w:rFonts w:cs="Times New Roman"/>
                <w:sz w:val="21"/>
                <w:szCs w:val="21"/>
              </w:rPr>
              <w:t>类</w:t>
            </w:r>
            <w:r>
              <w:rPr>
                <w:rFonts w:hint="eastAsia" w:cs="Times New Roman"/>
                <w:sz w:val="21"/>
                <w:szCs w:val="21"/>
              </w:rPr>
              <w:t>声环境</w:t>
            </w:r>
            <w:r>
              <w:rPr>
                <w:rFonts w:cs="Times New Roman"/>
                <w:sz w:val="21"/>
                <w:szCs w:val="21"/>
              </w:rPr>
              <w:t>功能区</w:t>
            </w:r>
          </w:p>
        </w:tc>
        <w:tc>
          <w:tcPr>
            <w:tcW w:w="569" w:type="pct"/>
            <w:noWrap w:val="0"/>
            <w:tcMar>
              <w:top w:w="0" w:type="dxa"/>
              <w:left w:w="57" w:type="dxa"/>
              <w:bottom w:w="0" w:type="dxa"/>
              <w:right w:w="57" w:type="dxa"/>
            </w:tcMar>
            <w:vAlign w:val="center"/>
          </w:tcPr>
          <w:p w14:paraId="3982E16A">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pacing w:val="1"/>
                <w:sz w:val="21"/>
                <w:szCs w:val="21"/>
              </w:rPr>
              <w:t>4</w:t>
            </w:r>
          </w:p>
        </w:tc>
      </w:tr>
      <w:tr w14:paraId="13661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693DCD0B">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82" w:type="pct"/>
            <w:noWrap w:val="0"/>
            <w:tcMar>
              <w:top w:w="0" w:type="dxa"/>
              <w:left w:w="57" w:type="dxa"/>
              <w:bottom w:w="0" w:type="dxa"/>
              <w:right w:w="57" w:type="dxa"/>
            </w:tcMar>
            <w:vAlign w:val="center"/>
          </w:tcPr>
          <w:p w14:paraId="2E6C77D1">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0</w:t>
            </w:r>
            <w:r>
              <w:rPr>
                <w:rFonts w:cs="Times New Roman"/>
                <w:sz w:val="21"/>
                <w:szCs w:val="21"/>
              </w:rPr>
              <w:t>类</w:t>
            </w:r>
            <w:r>
              <w:rPr>
                <w:rFonts w:hint="eastAsia" w:cs="Times New Roman"/>
                <w:sz w:val="21"/>
                <w:szCs w:val="21"/>
              </w:rPr>
              <w:t>声环境</w:t>
            </w:r>
            <w:r>
              <w:rPr>
                <w:rFonts w:cs="Times New Roman"/>
                <w:sz w:val="21"/>
                <w:szCs w:val="21"/>
              </w:rPr>
              <w:t>功能区</w:t>
            </w:r>
          </w:p>
        </w:tc>
        <w:tc>
          <w:tcPr>
            <w:tcW w:w="569" w:type="pct"/>
            <w:noWrap w:val="0"/>
            <w:tcMar>
              <w:top w:w="0" w:type="dxa"/>
              <w:left w:w="57" w:type="dxa"/>
              <w:bottom w:w="0" w:type="dxa"/>
              <w:right w:w="57" w:type="dxa"/>
            </w:tcMar>
            <w:vAlign w:val="center"/>
          </w:tcPr>
          <w:p w14:paraId="7648436A">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1A4E9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restart"/>
            <w:noWrap w:val="0"/>
            <w:tcMar>
              <w:top w:w="0" w:type="dxa"/>
              <w:left w:w="57" w:type="dxa"/>
              <w:bottom w:w="0" w:type="dxa"/>
              <w:right w:w="57" w:type="dxa"/>
            </w:tcMar>
            <w:vAlign w:val="center"/>
          </w:tcPr>
          <w:p w14:paraId="6FEE26B2">
            <w:pPr>
              <w:spacing w:before="20" w:after="20" w:line="300" w:lineRule="auto"/>
              <w:jc w:val="center"/>
              <w:rPr>
                <w:rFonts w:ascii="Times New Roman" w:hAnsi="Times New Roman" w:eastAsia="宋体"/>
                <w:b/>
                <w:sz w:val="21"/>
              </w:rPr>
            </w:pPr>
            <w:r>
              <w:rPr>
                <w:rFonts w:ascii="Times New Roman" w:hAnsi="Times New Roman" w:eastAsia="宋体"/>
                <w:b/>
                <w:sz w:val="21"/>
              </w:rPr>
              <w:t>环境质量</w:t>
            </w:r>
          </w:p>
          <w:p w14:paraId="6A67DB19">
            <w:pPr>
              <w:spacing w:before="20" w:after="20" w:line="300" w:lineRule="auto"/>
              <w:jc w:val="center"/>
              <w:rPr>
                <w:rFonts w:ascii="Times New Roman" w:hAnsi="Times New Roman" w:eastAsia="宋体"/>
                <w:b/>
                <w:sz w:val="21"/>
              </w:rPr>
            </w:pPr>
            <w:r>
              <w:rPr>
                <w:rFonts w:ascii="Times New Roman" w:hAnsi="Times New Roman" w:eastAsia="宋体"/>
                <w:b/>
                <w:sz w:val="21"/>
              </w:rPr>
              <w:t>监测站点</w:t>
            </w:r>
          </w:p>
          <w:p w14:paraId="5DFA6419">
            <w:pPr>
              <w:spacing w:before="20" w:after="20" w:line="300" w:lineRule="auto"/>
              <w:jc w:val="center"/>
              <w:rPr>
                <w:rFonts w:ascii="Times New Roman" w:hAnsi="Times New Roman" w:eastAsia="宋体"/>
                <w:b/>
                <w:sz w:val="21"/>
              </w:rPr>
            </w:pPr>
            <w:r>
              <w:rPr>
                <w:rFonts w:ascii="Times New Roman" w:hAnsi="Times New Roman" w:eastAsia="宋体"/>
                <w:b/>
                <w:sz w:val="21"/>
              </w:rPr>
              <w:t>级别</w:t>
            </w:r>
          </w:p>
        </w:tc>
        <w:tc>
          <w:tcPr>
            <w:tcW w:w="3782" w:type="pct"/>
            <w:noWrap w:val="0"/>
            <w:tcMar>
              <w:top w:w="0" w:type="dxa"/>
              <w:left w:w="57" w:type="dxa"/>
              <w:bottom w:w="0" w:type="dxa"/>
              <w:right w:w="57" w:type="dxa"/>
            </w:tcMar>
            <w:vAlign w:val="center"/>
          </w:tcPr>
          <w:p w14:paraId="4E533BCF">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市控</w:t>
            </w:r>
          </w:p>
        </w:tc>
        <w:tc>
          <w:tcPr>
            <w:tcW w:w="569" w:type="pct"/>
            <w:noWrap w:val="0"/>
            <w:tcMar>
              <w:top w:w="0" w:type="dxa"/>
              <w:left w:w="57" w:type="dxa"/>
              <w:bottom w:w="0" w:type="dxa"/>
              <w:right w:w="57" w:type="dxa"/>
            </w:tcMar>
            <w:vAlign w:val="center"/>
          </w:tcPr>
          <w:p w14:paraId="1E511E2A">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2C8BD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37C6723F">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82" w:type="pct"/>
            <w:noWrap w:val="0"/>
            <w:tcMar>
              <w:top w:w="0" w:type="dxa"/>
              <w:left w:w="57" w:type="dxa"/>
              <w:bottom w:w="0" w:type="dxa"/>
              <w:right w:w="57" w:type="dxa"/>
            </w:tcMar>
            <w:vAlign w:val="center"/>
          </w:tcPr>
          <w:p w14:paraId="5636023A">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省控</w:t>
            </w:r>
          </w:p>
        </w:tc>
        <w:tc>
          <w:tcPr>
            <w:tcW w:w="569" w:type="pct"/>
            <w:noWrap w:val="0"/>
            <w:tcMar>
              <w:top w:w="0" w:type="dxa"/>
              <w:left w:w="57" w:type="dxa"/>
              <w:bottom w:w="0" w:type="dxa"/>
              <w:right w:w="57" w:type="dxa"/>
            </w:tcMar>
            <w:vAlign w:val="center"/>
          </w:tcPr>
          <w:p w14:paraId="5E2125F3">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pacing w:val="1"/>
                <w:sz w:val="21"/>
                <w:szCs w:val="21"/>
              </w:rPr>
              <w:t>4</w:t>
            </w:r>
          </w:p>
        </w:tc>
      </w:tr>
      <w:tr w14:paraId="09476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19193405">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82" w:type="pct"/>
            <w:noWrap w:val="0"/>
            <w:tcMar>
              <w:top w:w="0" w:type="dxa"/>
              <w:left w:w="57" w:type="dxa"/>
              <w:bottom w:w="0" w:type="dxa"/>
              <w:right w:w="57" w:type="dxa"/>
            </w:tcMar>
            <w:vAlign w:val="center"/>
          </w:tcPr>
          <w:p w14:paraId="24481E4B">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国控</w:t>
            </w:r>
          </w:p>
        </w:tc>
        <w:tc>
          <w:tcPr>
            <w:tcW w:w="569" w:type="pct"/>
            <w:noWrap w:val="0"/>
            <w:tcMar>
              <w:top w:w="0" w:type="dxa"/>
              <w:left w:w="57" w:type="dxa"/>
              <w:bottom w:w="0" w:type="dxa"/>
              <w:right w:w="57" w:type="dxa"/>
            </w:tcMar>
            <w:vAlign w:val="center"/>
          </w:tcPr>
          <w:p w14:paraId="7219CA8C">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0EBE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restart"/>
            <w:noWrap w:val="0"/>
            <w:tcMar>
              <w:top w:w="0" w:type="dxa"/>
              <w:left w:w="57" w:type="dxa"/>
              <w:bottom w:w="0" w:type="dxa"/>
              <w:right w:w="57" w:type="dxa"/>
            </w:tcMar>
            <w:vAlign w:val="center"/>
          </w:tcPr>
          <w:p w14:paraId="5EAA6C04">
            <w:pPr>
              <w:spacing w:before="20" w:after="20" w:line="300" w:lineRule="auto"/>
              <w:jc w:val="center"/>
              <w:rPr>
                <w:rFonts w:ascii="Times New Roman" w:hAnsi="Times New Roman" w:eastAsia="宋体"/>
                <w:b/>
                <w:sz w:val="21"/>
              </w:rPr>
            </w:pPr>
            <w:r>
              <w:rPr>
                <w:rFonts w:hint="eastAsia" w:ascii="Times New Roman" w:hAnsi="Times New Roman" w:eastAsia="宋体"/>
                <w:b/>
                <w:sz w:val="21"/>
              </w:rPr>
              <w:t>单位类型</w:t>
            </w:r>
          </w:p>
        </w:tc>
        <w:tc>
          <w:tcPr>
            <w:tcW w:w="3782" w:type="pct"/>
            <w:noWrap w:val="0"/>
            <w:tcMar>
              <w:top w:w="0" w:type="dxa"/>
              <w:left w:w="57" w:type="dxa"/>
              <w:bottom w:w="0" w:type="dxa"/>
              <w:right w:w="57" w:type="dxa"/>
            </w:tcMar>
            <w:vAlign w:val="center"/>
          </w:tcPr>
          <w:p w14:paraId="7E638DDD">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排污许可简化管理单位/非环境监管重点单位</w:t>
            </w:r>
          </w:p>
        </w:tc>
        <w:tc>
          <w:tcPr>
            <w:tcW w:w="569" w:type="pct"/>
            <w:noWrap w:val="0"/>
            <w:tcMar>
              <w:top w:w="0" w:type="dxa"/>
              <w:left w:w="57" w:type="dxa"/>
              <w:bottom w:w="0" w:type="dxa"/>
              <w:right w:w="57" w:type="dxa"/>
            </w:tcMar>
            <w:vAlign w:val="center"/>
          </w:tcPr>
          <w:p w14:paraId="7B6F5F92">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hint="eastAsia" w:ascii="宋体" w:hAnsi="宋体" w:eastAsia="宋体"/>
                <w:sz w:val="21"/>
                <w:szCs w:val="21"/>
              </w:rPr>
              <w:t>3</w:t>
            </w:r>
          </w:p>
        </w:tc>
      </w:tr>
      <w:tr w14:paraId="3EE93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4C4E5C7B">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82" w:type="pct"/>
            <w:noWrap w:val="0"/>
            <w:tcMar>
              <w:top w:w="0" w:type="dxa"/>
              <w:left w:w="57" w:type="dxa"/>
              <w:bottom w:w="0" w:type="dxa"/>
              <w:right w:w="57" w:type="dxa"/>
            </w:tcMar>
            <w:vAlign w:val="center"/>
          </w:tcPr>
          <w:p w14:paraId="17D740C7">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排污许可重点管理单位/环境监管重点单位</w:t>
            </w:r>
          </w:p>
        </w:tc>
        <w:tc>
          <w:tcPr>
            <w:tcW w:w="569" w:type="pct"/>
            <w:noWrap w:val="0"/>
            <w:tcMar>
              <w:top w:w="0" w:type="dxa"/>
              <w:left w:w="57" w:type="dxa"/>
              <w:bottom w:w="0" w:type="dxa"/>
              <w:right w:w="57" w:type="dxa"/>
            </w:tcMar>
            <w:vAlign w:val="center"/>
          </w:tcPr>
          <w:p w14:paraId="55B2DA97">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hint="eastAsia" w:ascii="宋体" w:hAnsi="宋体" w:eastAsia="宋体"/>
                <w:sz w:val="21"/>
                <w:szCs w:val="21"/>
              </w:rPr>
              <w:t>5</w:t>
            </w:r>
          </w:p>
        </w:tc>
      </w:tr>
      <w:tr w14:paraId="3C254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restart"/>
            <w:noWrap w:val="0"/>
            <w:tcMar>
              <w:top w:w="0" w:type="dxa"/>
              <w:left w:w="57" w:type="dxa"/>
              <w:bottom w:w="0" w:type="dxa"/>
              <w:right w:w="57" w:type="dxa"/>
            </w:tcMar>
            <w:vAlign w:val="center"/>
          </w:tcPr>
          <w:p w14:paraId="3A02BCF9">
            <w:pPr>
              <w:spacing w:before="20" w:after="20" w:line="300" w:lineRule="auto"/>
              <w:jc w:val="center"/>
              <w:rPr>
                <w:rFonts w:ascii="Times New Roman" w:hAnsi="Times New Roman" w:eastAsia="宋体"/>
                <w:b/>
                <w:sz w:val="21"/>
              </w:rPr>
            </w:pPr>
            <w:r>
              <w:rPr>
                <w:rFonts w:ascii="Times New Roman" w:hAnsi="Times New Roman" w:eastAsia="宋体"/>
                <w:b/>
                <w:sz w:val="21"/>
              </w:rPr>
              <w:t>违法行为</w:t>
            </w:r>
          </w:p>
          <w:p w14:paraId="398F8EF7">
            <w:pPr>
              <w:spacing w:before="20" w:after="20" w:line="300" w:lineRule="auto"/>
              <w:jc w:val="center"/>
              <w:rPr>
                <w:rFonts w:ascii="Times New Roman" w:hAnsi="Times New Roman" w:eastAsia="宋体"/>
                <w:b/>
                <w:sz w:val="21"/>
              </w:rPr>
            </w:pPr>
            <w:r>
              <w:rPr>
                <w:rFonts w:ascii="Times New Roman" w:hAnsi="Times New Roman" w:eastAsia="宋体"/>
                <w:b/>
                <w:sz w:val="21"/>
              </w:rPr>
              <w:t>发生期间</w:t>
            </w:r>
          </w:p>
          <w:p w14:paraId="4A4F3CB2">
            <w:pPr>
              <w:spacing w:before="20" w:after="20" w:line="300" w:lineRule="auto"/>
              <w:jc w:val="center"/>
              <w:rPr>
                <w:rFonts w:ascii="Times New Roman" w:hAnsi="Times New Roman" w:eastAsia="宋体"/>
                <w:b/>
                <w:sz w:val="21"/>
              </w:rPr>
            </w:pPr>
            <w:r>
              <w:rPr>
                <w:rFonts w:ascii="Times New Roman" w:hAnsi="Times New Roman" w:eastAsia="宋体"/>
                <w:b/>
                <w:sz w:val="21"/>
              </w:rPr>
              <w:t>敏感度</w:t>
            </w:r>
          </w:p>
        </w:tc>
        <w:tc>
          <w:tcPr>
            <w:tcW w:w="3782" w:type="pct"/>
            <w:noWrap w:val="0"/>
            <w:tcMar>
              <w:top w:w="0" w:type="dxa"/>
              <w:left w:w="57" w:type="dxa"/>
              <w:bottom w:w="0" w:type="dxa"/>
              <w:right w:w="57" w:type="dxa"/>
            </w:tcMar>
            <w:vAlign w:val="center"/>
          </w:tcPr>
          <w:p w14:paraId="54A26016">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一般期间</w:t>
            </w:r>
          </w:p>
        </w:tc>
        <w:tc>
          <w:tcPr>
            <w:tcW w:w="569" w:type="pct"/>
            <w:noWrap w:val="0"/>
            <w:tcMar>
              <w:top w:w="0" w:type="dxa"/>
              <w:left w:w="57" w:type="dxa"/>
              <w:bottom w:w="0" w:type="dxa"/>
              <w:right w:w="57" w:type="dxa"/>
            </w:tcMar>
            <w:vAlign w:val="center"/>
          </w:tcPr>
          <w:p w14:paraId="6C08BCF9">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5A751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49C009BC">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82" w:type="pct"/>
            <w:noWrap w:val="0"/>
            <w:tcMar>
              <w:top w:w="0" w:type="dxa"/>
              <w:left w:w="57" w:type="dxa"/>
              <w:bottom w:w="0" w:type="dxa"/>
              <w:right w:w="57" w:type="dxa"/>
            </w:tcMar>
            <w:vAlign w:val="center"/>
          </w:tcPr>
          <w:p w14:paraId="3EA6CDB0">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特殊或重大活动期间</w:t>
            </w:r>
          </w:p>
        </w:tc>
        <w:tc>
          <w:tcPr>
            <w:tcW w:w="569" w:type="pct"/>
            <w:noWrap w:val="0"/>
            <w:tcMar>
              <w:top w:w="0" w:type="dxa"/>
              <w:left w:w="57" w:type="dxa"/>
              <w:bottom w:w="0" w:type="dxa"/>
              <w:right w:w="57" w:type="dxa"/>
            </w:tcMar>
            <w:vAlign w:val="center"/>
          </w:tcPr>
          <w:p w14:paraId="15F1FF22">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664E2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32F0020A">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82" w:type="pct"/>
            <w:noWrap w:val="0"/>
            <w:tcMar>
              <w:top w:w="0" w:type="dxa"/>
              <w:left w:w="57" w:type="dxa"/>
              <w:bottom w:w="0" w:type="dxa"/>
              <w:right w:w="57" w:type="dxa"/>
            </w:tcMar>
            <w:vAlign w:val="center"/>
          </w:tcPr>
          <w:p w14:paraId="5077E61D">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重污染天气预警期间</w:t>
            </w:r>
          </w:p>
        </w:tc>
        <w:tc>
          <w:tcPr>
            <w:tcW w:w="569" w:type="pct"/>
            <w:noWrap w:val="0"/>
            <w:tcMar>
              <w:top w:w="0" w:type="dxa"/>
              <w:left w:w="57" w:type="dxa"/>
              <w:bottom w:w="0" w:type="dxa"/>
              <w:right w:w="57" w:type="dxa"/>
            </w:tcMar>
            <w:vAlign w:val="center"/>
          </w:tcPr>
          <w:p w14:paraId="720B0978">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bl>
    <w:p w14:paraId="6CF1697C">
      <w:pPr>
        <w:spacing w:after="120" w:afterLines="50" w:line="480" w:lineRule="exact"/>
        <w:rPr>
          <w:rFonts w:ascii="Times New Roman" w:hAnsi="Times New Roman" w:eastAsia="黑体"/>
          <w:sz w:val="28"/>
          <w:szCs w:val="28"/>
        </w:rPr>
      </w:pPr>
      <w:r>
        <w:rPr>
          <w:rFonts w:hint="eastAsia" w:ascii="Times New Roman" w:hAnsi="Times New Roman" w:eastAsia="黑体"/>
          <w:sz w:val="28"/>
          <w:szCs w:val="28"/>
        </w:rPr>
        <w:t>（二）</w:t>
      </w:r>
      <w:r>
        <w:rPr>
          <w:rFonts w:ascii="Times New Roman" w:hAnsi="Times New Roman" w:eastAsia="黑体"/>
          <w:sz w:val="28"/>
          <w:szCs w:val="28"/>
        </w:rPr>
        <w:t>违反生态环境影响评价管理规定的行为</w:t>
      </w:r>
      <w:bookmarkEnd w:id="11"/>
      <w:bookmarkEnd w:id="12"/>
    </w:p>
    <w:p w14:paraId="6D73B385">
      <w:pPr>
        <w:spacing w:before="40" w:after="40" w:line="400" w:lineRule="auto"/>
        <w:jc w:val="both"/>
        <w:rPr>
          <w:rFonts w:hint="eastAsia" w:eastAsia="黑体"/>
          <w:lang w:val="en-US" w:eastAsia="zh-CN"/>
        </w:rPr>
      </w:pPr>
      <w:r>
        <w:rPr>
          <w:rFonts w:ascii="Times New Roman" w:hAnsi="Times New Roman" w:eastAsia="黑体"/>
          <w:b/>
          <w:sz w:val="24"/>
        </w:rPr>
        <w:t>1.接受委托为建设单位编制建设项目生态环境影响报告书、报告表的技术单位未依法报生态环境主管部门备案</w:t>
      </w:r>
      <w:r>
        <w:rPr>
          <w:rFonts w:hint="eastAsia" w:ascii="Times New Roman" w:hAnsi="Times New Roman" w:eastAsia="黑体"/>
          <w:b/>
          <w:sz w:val="24"/>
        </w:rPr>
        <w:t>，或上述技术单位</w:t>
      </w:r>
      <w:r>
        <w:rPr>
          <w:rFonts w:ascii="Times New Roman" w:hAnsi="Times New Roman" w:eastAsia="黑体"/>
          <w:b/>
          <w:sz w:val="24"/>
        </w:rPr>
        <w:t>和人员与负责审批的部门存在利益关系的行为</w:t>
      </w:r>
      <w:r>
        <w:rPr>
          <w:rFonts w:hint="eastAsia" w:ascii="Times New Roman" w:hAnsi="Times New Roman" w:eastAsia="黑体"/>
          <w:b/>
          <w:sz w:val="24"/>
          <w:lang w:val="en-US" w:eastAsia="zh-CN"/>
        </w:rPr>
        <w:t>(仅补充</w:t>
      </w:r>
      <w:r>
        <w:rPr>
          <w:rFonts w:ascii="Times New Roman" w:hAnsi="Times New Roman" w:eastAsia="黑体"/>
          <w:b/>
          <w:sz w:val="24"/>
        </w:rPr>
        <w:t>未依法报生态环境主管部门备案</w:t>
      </w:r>
      <w:r>
        <w:rPr>
          <w:rFonts w:hint="eastAsia" w:ascii="Times New Roman" w:hAnsi="Times New Roman" w:eastAsia="黑体"/>
          <w:b/>
          <w:sz w:val="24"/>
          <w:lang w:eastAsia="zh-CN"/>
        </w:rPr>
        <w:t>）</w:t>
      </w:r>
    </w:p>
    <w:tbl>
      <w:tblPr>
        <w:tblStyle w:val="8"/>
        <w:tblW w:w="9026"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200"/>
        <w:gridCol w:w="6738"/>
        <w:gridCol w:w="1088"/>
      </w:tblGrid>
      <w:tr w14:paraId="4C80B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noWrap w:val="0"/>
            <w:vAlign w:val="center"/>
          </w:tcPr>
          <w:p w14:paraId="63633B77">
            <w:pPr>
              <w:spacing w:before="20" w:after="20" w:line="300" w:lineRule="auto"/>
              <w:jc w:val="center"/>
              <w:rPr>
                <w:rFonts w:hint="eastAsia"/>
                <w:b/>
              </w:rPr>
            </w:pPr>
            <w:r>
              <w:rPr>
                <w:rFonts w:ascii="Times New Roman" w:hAnsi="Times New Roman" w:eastAsia="宋体"/>
                <w:b/>
                <w:sz w:val="21"/>
              </w:rPr>
              <w:t>违反条款</w:t>
            </w:r>
          </w:p>
        </w:tc>
        <w:tc>
          <w:tcPr>
            <w:tcW w:w="7826" w:type="dxa"/>
            <w:gridSpan w:val="2"/>
            <w:noWrap w:val="0"/>
            <w:vAlign w:val="center"/>
          </w:tcPr>
          <w:p w14:paraId="1C5BE2E3">
            <w:pPr>
              <w:spacing w:before="20" w:after="20" w:line="300" w:lineRule="auto"/>
              <w:rPr>
                <w:rFonts w:ascii="Times New Roman" w:hAnsi="Times New Roman" w:eastAsia="宋体"/>
                <w:sz w:val="21"/>
              </w:rPr>
            </w:pPr>
            <w:r>
              <w:rPr>
                <w:rFonts w:hint="eastAsia" w:ascii="Times New Roman" w:hAnsi="Times New Roman" w:eastAsia="宋体"/>
                <w:sz w:val="21"/>
              </w:rPr>
              <w:t>《中华人民共和国生态环境法典》第九十九条第二款、第三款 接受委托为建设单位编制建设项目生态环境影响报告书、生态环境影响报告表的技术单位和人员，应当具有良好的信用记录，不得与负责审批建设项目生态环境影响报告书、生态环境影响报告表的生态环境主管部门或者其他有关审批部门存在任何利益关系，编制、审核等关键岗位人员应当具有相关专业技术水平和从业经历。</w:t>
            </w:r>
          </w:p>
          <w:p w14:paraId="279B4D61">
            <w:pPr>
              <w:spacing w:before="20" w:after="20" w:line="300" w:lineRule="auto"/>
              <w:rPr>
                <w:rFonts w:hint="eastAsia"/>
              </w:rPr>
            </w:pPr>
            <w:r>
              <w:rPr>
                <w:rFonts w:hint="eastAsia" w:ascii="Times New Roman" w:hAnsi="Times New Roman" w:eastAsia="宋体"/>
                <w:sz w:val="21"/>
              </w:rPr>
              <w:t>接受委托为建设单位编制建设项目生态环境影响报告书、生态环境影响报告表的技术单位，应当报生态环境主管部门备案，生态环境主管部门应当加强对技术单位开展生态环境影响评价业务的监督管理。具体办法由国务院生态环境主管部门制定。</w:t>
            </w:r>
          </w:p>
        </w:tc>
      </w:tr>
      <w:tr w14:paraId="23178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noWrap w:val="0"/>
            <w:vAlign w:val="center"/>
          </w:tcPr>
          <w:p w14:paraId="376816C4">
            <w:pPr>
              <w:spacing w:before="20" w:after="20" w:line="300" w:lineRule="auto"/>
              <w:jc w:val="center"/>
              <w:rPr>
                <w:rFonts w:hint="eastAsia"/>
                <w:b/>
              </w:rPr>
            </w:pPr>
            <w:r>
              <w:rPr>
                <w:rFonts w:ascii="Times New Roman" w:hAnsi="Times New Roman" w:eastAsia="宋体"/>
                <w:b/>
                <w:sz w:val="21"/>
              </w:rPr>
              <w:t>处罚依据</w:t>
            </w:r>
          </w:p>
        </w:tc>
        <w:tc>
          <w:tcPr>
            <w:tcW w:w="7826" w:type="dxa"/>
            <w:gridSpan w:val="2"/>
            <w:noWrap w:val="0"/>
            <w:vAlign w:val="center"/>
          </w:tcPr>
          <w:p w14:paraId="25190D0E">
            <w:pPr>
              <w:spacing w:before="20" w:after="20" w:line="300" w:lineRule="auto"/>
              <w:rPr>
                <w:rFonts w:hint="eastAsia"/>
              </w:rPr>
            </w:pPr>
            <w:r>
              <w:rPr>
                <w:rFonts w:ascii="Times New Roman" w:hAnsi="Times New Roman" w:eastAsia="宋体"/>
                <w:sz w:val="21"/>
              </w:rPr>
              <w:t>《中华人民共和国生态环境法典》第一千零九十八条　违反本法规定，接受委托为建设单位编制建设项目生态环境影响报告书、报告表的技术单位和人员，与负责审批的部门存在利益关系的，或者该技术单位未依法报生态环境主管部门备案的，由生态环境主管部门、海警机构按照职责分工责令改正，处二万元以上二十万元以下的罚款；拒不改正的，报经有批准权的人民政府批准，责令停业。</w:t>
            </w:r>
          </w:p>
        </w:tc>
      </w:tr>
      <w:tr w14:paraId="25818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noWrap w:val="0"/>
            <w:vAlign w:val="center"/>
          </w:tcPr>
          <w:p w14:paraId="6E58FF34">
            <w:pPr>
              <w:spacing w:before="20" w:after="20" w:line="300" w:lineRule="auto"/>
              <w:jc w:val="center"/>
              <w:rPr>
                <w:rFonts w:hint="eastAsia"/>
                <w:b/>
              </w:rPr>
            </w:pPr>
            <w:r>
              <w:rPr>
                <w:rFonts w:ascii="Times New Roman" w:hAnsi="Times New Roman" w:eastAsia="宋体"/>
                <w:b/>
                <w:sz w:val="21"/>
              </w:rPr>
              <w:t>裁量因素</w:t>
            </w:r>
          </w:p>
        </w:tc>
        <w:tc>
          <w:tcPr>
            <w:tcW w:w="6738" w:type="dxa"/>
            <w:noWrap w:val="0"/>
            <w:vAlign w:val="center"/>
          </w:tcPr>
          <w:p w14:paraId="230FFCE5">
            <w:pPr>
              <w:spacing w:before="20" w:after="20" w:line="300" w:lineRule="auto"/>
              <w:jc w:val="center"/>
              <w:rPr>
                <w:rFonts w:hint="eastAsia"/>
              </w:rPr>
            </w:pPr>
            <w:r>
              <w:rPr>
                <w:rFonts w:ascii="Times New Roman" w:hAnsi="Times New Roman" w:eastAsia="宋体"/>
                <w:b/>
                <w:sz w:val="21"/>
              </w:rPr>
              <w:t>裁量因子</w:t>
            </w:r>
          </w:p>
        </w:tc>
        <w:tc>
          <w:tcPr>
            <w:tcW w:w="1088" w:type="dxa"/>
            <w:noWrap w:val="0"/>
            <w:vAlign w:val="center"/>
          </w:tcPr>
          <w:p w14:paraId="43121DA8">
            <w:pPr>
              <w:spacing w:before="20" w:after="20" w:line="300" w:lineRule="auto"/>
              <w:jc w:val="center"/>
              <w:rPr>
                <w:rFonts w:hint="eastAsia"/>
              </w:rPr>
            </w:pPr>
            <w:r>
              <w:rPr>
                <w:rFonts w:ascii="Times New Roman" w:hAnsi="Times New Roman" w:eastAsia="宋体"/>
                <w:b/>
                <w:sz w:val="21"/>
              </w:rPr>
              <w:t>裁量等级</w:t>
            </w:r>
          </w:p>
        </w:tc>
      </w:tr>
      <w:tr w14:paraId="2CC18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restart"/>
            <w:noWrap w:val="0"/>
            <w:vAlign w:val="center"/>
          </w:tcPr>
          <w:p w14:paraId="72474072">
            <w:pPr>
              <w:spacing w:before="20" w:after="20" w:line="300" w:lineRule="auto"/>
              <w:jc w:val="center"/>
              <w:rPr>
                <w:rFonts w:hint="eastAsia"/>
                <w:b/>
              </w:rPr>
            </w:pPr>
            <w:r>
              <w:rPr>
                <w:rFonts w:ascii="Times New Roman" w:hAnsi="Times New Roman" w:eastAsia="宋体"/>
                <w:b/>
                <w:sz w:val="21"/>
              </w:rPr>
              <w:t>违法事实</w:t>
            </w:r>
          </w:p>
        </w:tc>
        <w:tc>
          <w:tcPr>
            <w:tcW w:w="6738" w:type="dxa"/>
            <w:noWrap w:val="0"/>
            <w:vAlign w:val="center"/>
          </w:tcPr>
          <w:p w14:paraId="61769A3D">
            <w:pPr>
              <w:spacing w:before="20" w:after="20" w:line="300" w:lineRule="auto"/>
              <w:rPr>
                <w:rFonts w:hint="eastAsia"/>
              </w:rPr>
            </w:pPr>
            <w:r>
              <w:rPr>
                <w:rFonts w:ascii="Times New Roman" w:hAnsi="Times New Roman" w:eastAsia="宋体"/>
                <w:sz w:val="21"/>
              </w:rPr>
              <w:t>责令改正后在规定期限内完成备案</w:t>
            </w:r>
            <w:r>
              <w:rPr>
                <w:rFonts w:hint="eastAsia" w:ascii="Times New Roman" w:hAnsi="Times New Roman" w:eastAsia="宋体"/>
                <w:sz w:val="21"/>
              </w:rPr>
              <w:t>；或首次在项目中出现</w:t>
            </w:r>
            <w:r>
              <w:rPr>
                <w:rFonts w:ascii="Times New Roman" w:hAnsi="Times New Roman" w:eastAsia="宋体"/>
                <w:sz w:val="21"/>
              </w:rPr>
              <w:t>与负责审批的部门存在利益关系</w:t>
            </w:r>
            <w:r>
              <w:rPr>
                <w:rFonts w:hint="eastAsia" w:ascii="Times New Roman" w:hAnsi="Times New Roman" w:eastAsia="宋体"/>
                <w:sz w:val="21"/>
              </w:rPr>
              <w:t>的情形，但并未因此影响到书表文件的最终审批。</w:t>
            </w:r>
          </w:p>
        </w:tc>
        <w:tc>
          <w:tcPr>
            <w:tcW w:w="1088" w:type="dxa"/>
            <w:noWrap w:val="0"/>
            <w:vAlign w:val="center"/>
          </w:tcPr>
          <w:p w14:paraId="18C141B8">
            <w:pPr>
              <w:spacing w:before="20" w:after="20" w:line="300" w:lineRule="auto"/>
              <w:jc w:val="center"/>
              <w:rPr>
                <w:rFonts w:hint="eastAsia"/>
              </w:rPr>
            </w:pPr>
            <w:r>
              <w:rPr>
                <w:rFonts w:ascii="Times New Roman" w:hAnsi="Times New Roman" w:eastAsia="宋体"/>
                <w:sz w:val="21"/>
              </w:rPr>
              <w:t>1</w:t>
            </w:r>
          </w:p>
        </w:tc>
      </w:tr>
      <w:tr w14:paraId="6A296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2E771CE9">
            <w:pPr>
              <w:spacing w:before="20" w:after="20" w:line="300" w:lineRule="auto"/>
              <w:jc w:val="center"/>
              <w:rPr>
                <w:rFonts w:hint="eastAsia"/>
                <w:b/>
              </w:rPr>
            </w:pPr>
          </w:p>
        </w:tc>
        <w:tc>
          <w:tcPr>
            <w:tcW w:w="6738" w:type="dxa"/>
            <w:noWrap w:val="0"/>
            <w:vAlign w:val="center"/>
          </w:tcPr>
          <w:p w14:paraId="2AAE677A">
            <w:pPr>
              <w:spacing w:before="20" w:after="20" w:line="300" w:lineRule="auto"/>
              <w:rPr>
                <w:rFonts w:hint="eastAsia"/>
              </w:rPr>
            </w:pPr>
            <w:r>
              <w:rPr>
                <w:rFonts w:ascii="Times New Roman" w:hAnsi="Times New Roman" w:eastAsia="宋体"/>
                <w:sz w:val="21"/>
              </w:rPr>
              <w:t>责令改正后逾期未备案，但拒不改正情节较轻</w:t>
            </w:r>
            <w:r>
              <w:rPr>
                <w:rFonts w:hint="eastAsia" w:ascii="Times New Roman" w:hAnsi="Times New Roman" w:eastAsia="宋体"/>
                <w:sz w:val="21"/>
              </w:rPr>
              <w:t>；或多次在项目中出现</w:t>
            </w:r>
            <w:r>
              <w:rPr>
                <w:rFonts w:ascii="Times New Roman" w:hAnsi="Times New Roman" w:eastAsia="宋体"/>
                <w:sz w:val="21"/>
              </w:rPr>
              <w:t>与负责审批的部门存在利益关系</w:t>
            </w:r>
            <w:r>
              <w:rPr>
                <w:rFonts w:hint="eastAsia" w:ascii="Times New Roman" w:hAnsi="Times New Roman" w:eastAsia="宋体"/>
                <w:sz w:val="21"/>
              </w:rPr>
              <w:t>的情形，但并未因此影响到书表文件的最终审批。</w:t>
            </w:r>
          </w:p>
        </w:tc>
        <w:tc>
          <w:tcPr>
            <w:tcW w:w="1088" w:type="dxa"/>
            <w:noWrap w:val="0"/>
            <w:vAlign w:val="center"/>
          </w:tcPr>
          <w:p w14:paraId="08F86C77">
            <w:pPr>
              <w:spacing w:before="20" w:after="20" w:line="300" w:lineRule="auto"/>
              <w:jc w:val="center"/>
              <w:rPr>
                <w:rFonts w:hint="eastAsia"/>
              </w:rPr>
            </w:pPr>
            <w:r>
              <w:rPr>
                <w:rFonts w:ascii="Times New Roman" w:hAnsi="Times New Roman" w:eastAsia="宋体"/>
                <w:sz w:val="21"/>
              </w:rPr>
              <w:t>3</w:t>
            </w:r>
          </w:p>
        </w:tc>
      </w:tr>
      <w:tr w14:paraId="7BA6E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5B287E9D">
            <w:pPr>
              <w:spacing w:before="20" w:after="20" w:line="300" w:lineRule="auto"/>
              <w:jc w:val="center"/>
              <w:rPr>
                <w:rFonts w:hint="eastAsia"/>
                <w:b/>
              </w:rPr>
            </w:pPr>
          </w:p>
        </w:tc>
        <w:tc>
          <w:tcPr>
            <w:tcW w:w="6738" w:type="dxa"/>
            <w:noWrap w:val="0"/>
            <w:vAlign w:val="center"/>
          </w:tcPr>
          <w:p w14:paraId="5B716AEE">
            <w:pPr>
              <w:spacing w:before="20" w:after="20" w:line="300" w:lineRule="auto"/>
              <w:rPr>
                <w:rFonts w:hint="eastAsia"/>
              </w:rPr>
            </w:pPr>
            <w:r>
              <w:rPr>
                <w:rFonts w:ascii="Times New Roman" w:hAnsi="Times New Roman" w:eastAsia="宋体"/>
                <w:sz w:val="21"/>
              </w:rPr>
              <w:t>拒不改正，或者虽未备案但已编制多份环评文件、涉及多个项目</w:t>
            </w:r>
            <w:r>
              <w:rPr>
                <w:rFonts w:hint="eastAsia" w:ascii="Times New Roman" w:hAnsi="Times New Roman" w:eastAsia="宋体"/>
                <w:sz w:val="21"/>
              </w:rPr>
              <w:t>；或多次在项目中出现</w:t>
            </w:r>
            <w:r>
              <w:rPr>
                <w:rFonts w:ascii="Times New Roman" w:hAnsi="Times New Roman" w:eastAsia="宋体"/>
                <w:sz w:val="21"/>
              </w:rPr>
              <w:t>与负责审批的部门存在利益关系</w:t>
            </w:r>
            <w:r>
              <w:rPr>
                <w:rFonts w:hint="eastAsia" w:ascii="Times New Roman" w:hAnsi="Times New Roman" w:eastAsia="宋体"/>
                <w:sz w:val="21"/>
              </w:rPr>
              <w:t>的情形，并因此影响到了书表文件的最终审批。</w:t>
            </w:r>
          </w:p>
        </w:tc>
        <w:tc>
          <w:tcPr>
            <w:tcW w:w="1088" w:type="dxa"/>
            <w:noWrap w:val="0"/>
            <w:vAlign w:val="center"/>
          </w:tcPr>
          <w:p w14:paraId="4FA77997">
            <w:pPr>
              <w:spacing w:before="20" w:after="20" w:line="300" w:lineRule="auto"/>
              <w:jc w:val="center"/>
              <w:rPr>
                <w:rFonts w:hint="eastAsia"/>
              </w:rPr>
            </w:pPr>
            <w:r>
              <w:rPr>
                <w:rFonts w:ascii="Times New Roman" w:hAnsi="Times New Roman" w:eastAsia="宋体"/>
                <w:sz w:val="21"/>
              </w:rPr>
              <w:t>5</w:t>
            </w:r>
          </w:p>
        </w:tc>
      </w:tr>
      <w:tr w14:paraId="1F253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restart"/>
            <w:noWrap w:val="0"/>
            <w:vAlign w:val="center"/>
          </w:tcPr>
          <w:p w14:paraId="7B4A7C8C">
            <w:pPr>
              <w:spacing w:before="20" w:after="20" w:line="300" w:lineRule="auto"/>
              <w:jc w:val="center"/>
              <w:rPr>
                <w:rFonts w:ascii="Times New Roman" w:hAnsi="Times New Roman" w:eastAsia="宋体"/>
                <w:b/>
                <w:sz w:val="21"/>
              </w:rPr>
            </w:pPr>
            <w:r>
              <w:rPr>
                <w:rFonts w:ascii="Times New Roman" w:hAnsi="Times New Roman" w:eastAsia="宋体"/>
                <w:b/>
                <w:sz w:val="21"/>
              </w:rPr>
              <w:t>环评文件</w:t>
            </w:r>
          </w:p>
          <w:p w14:paraId="210DB6E7">
            <w:pPr>
              <w:spacing w:before="20" w:after="20" w:line="300" w:lineRule="auto"/>
              <w:jc w:val="center"/>
              <w:rPr>
                <w:rFonts w:hint="eastAsia"/>
                <w:b/>
              </w:rPr>
            </w:pPr>
            <w:r>
              <w:rPr>
                <w:rFonts w:ascii="Times New Roman" w:hAnsi="Times New Roman" w:eastAsia="宋体"/>
                <w:b/>
                <w:sz w:val="21"/>
              </w:rPr>
              <w:t>类别</w:t>
            </w:r>
          </w:p>
        </w:tc>
        <w:tc>
          <w:tcPr>
            <w:tcW w:w="6738" w:type="dxa"/>
            <w:noWrap w:val="0"/>
            <w:vAlign w:val="center"/>
          </w:tcPr>
          <w:p w14:paraId="517B8ED7">
            <w:pPr>
              <w:spacing w:before="20" w:after="20" w:line="300" w:lineRule="auto"/>
              <w:rPr>
                <w:rFonts w:ascii="Times New Roman" w:hAnsi="Times New Roman" w:eastAsia="宋体"/>
                <w:sz w:val="21"/>
              </w:rPr>
            </w:pPr>
            <w:r>
              <w:rPr>
                <w:rFonts w:hint="eastAsia" w:ascii="Times New Roman" w:hAnsi="Times New Roman" w:eastAsia="宋体"/>
                <w:sz w:val="21"/>
              </w:rPr>
              <w:t>报告表</w:t>
            </w:r>
          </w:p>
        </w:tc>
        <w:tc>
          <w:tcPr>
            <w:tcW w:w="1088" w:type="dxa"/>
            <w:noWrap w:val="0"/>
            <w:vAlign w:val="center"/>
          </w:tcPr>
          <w:p w14:paraId="7C7C7B93">
            <w:pPr>
              <w:spacing w:before="20" w:after="20" w:line="300" w:lineRule="auto"/>
              <w:jc w:val="center"/>
              <w:rPr>
                <w:rFonts w:ascii="Times New Roman" w:hAnsi="Times New Roman" w:eastAsia="宋体"/>
                <w:sz w:val="21"/>
              </w:rPr>
            </w:pPr>
            <w:r>
              <w:rPr>
                <w:rFonts w:hint="eastAsia" w:ascii="Times New Roman" w:hAnsi="Times New Roman" w:eastAsia="宋体"/>
                <w:sz w:val="21"/>
              </w:rPr>
              <w:t>3</w:t>
            </w:r>
          </w:p>
        </w:tc>
      </w:tr>
      <w:tr w14:paraId="4AD2A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1FA8D36E">
            <w:pPr>
              <w:spacing w:before="20" w:after="20" w:line="300" w:lineRule="auto"/>
              <w:jc w:val="center"/>
              <w:rPr>
                <w:rFonts w:hint="eastAsia"/>
                <w:b/>
              </w:rPr>
            </w:pPr>
          </w:p>
        </w:tc>
        <w:tc>
          <w:tcPr>
            <w:tcW w:w="6738" w:type="dxa"/>
            <w:noWrap w:val="0"/>
            <w:vAlign w:val="center"/>
          </w:tcPr>
          <w:p w14:paraId="597F1947">
            <w:pPr>
              <w:spacing w:before="20" w:after="20" w:line="300" w:lineRule="auto"/>
              <w:rPr>
                <w:rFonts w:ascii="Times New Roman" w:hAnsi="Times New Roman" w:eastAsia="宋体"/>
                <w:sz w:val="21"/>
              </w:rPr>
            </w:pPr>
            <w:r>
              <w:rPr>
                <w:rFonts w:hint="eastAsia" w:ascii="Times New Roman" w:hAnsi="Times New Roman" w:eastAsia="宋体"/>
                <w:sz w:val="21"/>
              </w:rPr>
              <w:t>报告书</w:t>
            </w:r>
          </w:p>
        </w:tc>
        <w:tc>
          <w:tcPr>
            <w:tcW w:w="1088" w:type="dxa"/>
            <w:noWrap w:val="0"/>
            <w:vAlign w:val="center"/>
          </w:tcPr>
          <w:p w14:paraId="0ACFB409">
            <w:pPr>
              <w:spacing w:before="20" w:after="20" w:line="300" w:lineRule="auto"/>
              <w:jc w:val="center"/>
              <w:rPr>
                <w:rFonts w:ascii="Times New Roman" w:hAnsi="Times New Roman" w:eastAsia="宋体"/>
                <w:sz w:val="21"/>
              </w:rPr>
            </w:pPr>
            <w:r>
              <w:rPr>
                <w:rFonts w:hint="eastAsia" w:ascii="Times New Roman" w:hAnsi="Times New Roman" w:eastAsia="宋体"/>
                <w:sz w:val="21"/>
              </w:rPr>
              <w:t>5</w:t>
            </w:r>
          </w:p>
        </w:tc>
      </w:tr>
      <w:tr w14:paraId="19E49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restart"/>
            <w:noWrap w:val="0"/>
            <w:vAlign w:val="center"/>
          </w:tcPr>
          <w:p w14:paraId="383C0AB4">
            <w:pPr>
              <w:spacing w:before="20" w:after="20" w:line="300" w:lineRule="auto"/>
              <w:jc w:val="center"/>
              <w:rPr>
                <w:rFonts w:hint="eastAsia"/>
                <w:b/>
              </w:rPr>
            </w:pPr>
            <w:r>
              <w:rPr>
                <w:rFonts w:ascii="Times New Roman" w:hAnsi="Times New Roman" w:eastAsia="宋体"/>
                <w:b/>
                <w:sz w:val="21"/>
              </w:rPr>
              <w:t>项目地点</w:t>
            </w:r>
          </w:p>
        </w:tc>
        <w:tc>
          <w:tcPr>
            <w:tcW w:w="6738" w:type="dxa"/>
            <w:noWrap w:val="0"/>
            <w:vAlign w:val="center"/>
          </w:tcPr>
          <w:p w14:paraId="7E9631A2">
            <w:pPr>
              <w:spacing w:before="20" w:after="20" w:line="300" w:lineRule="auto"/>
              <w:rPr>
                <w:rFonts w:ascii="Times New Roman" w:hAnsi="Times New Roman" w:eastAsia="宋体"/>
                <w:sz w:val="21"/>
              </w:rPr>
            </w:pPr>
            <w:r>
              <w:rPr>
                <w:rFonts w:ascii="Times New Roman" w:hAnsi="Times New Roman" w:eastAsia="宋体"/>
                <w:sz w:val="21"/>
              </w:rPr>
              <w:t>位于生态保护红线范围</w:t>
            </w:r>
            <w:r>
              <w:rPr>
                <w:rFonts w:hint="eastAsia" w:ascii="Times New Roman" w:hAnsi="Times New Roman" w:eastAsia="宋体"/>
                <w:sz w:val="21"/>
              </w:rPr>
              <w:t>及</w:t>
            </w:r>
            <w:bookmarkStart w:id="13" w:name="FunCunProofread470587"/>
            <w:r>
              <w:rPr>
                <w:rFonts w:hint="eastAsia" w:ascii="Times New Roman" w:hAnsi="Times New Roman" w:eastAsia="宋体"/>
                <w:sz w:val="21"/>
              </w:rPr>
              <w:t>饮用水水源保护区</w:t>
            </w:r>
            <w:bookmarkEnd w:id="13"/>
            <w:r>
              <w:rPr>
                <w:rFonts w:hint="eastAsia" w:ascii="Times New Roman" w:hAnsi="Times New Roman" w:eastAsia="宋体"/>
                <w:sz w:val="21"/>
              </w:rPr>
              <w:t>范围</w:t>
            </w:r>
            <w:r>
              <w:rPr>
                <w:rFonts w:ascii="Times New Roman" w:hAnsi="Times New Roman" w:eastAsia="宋体"/>
                <w:sz w:val="21"/>
              </w:rPr>
              <w:t>以</w:t>
            </w:r>
            <w:r>
              <w:rPr>
                <w:rFonts w:hint="eastAsia" w:ascii="Times New Roman" w:hAnsi="Times New Roman" w:eastAsia="宋体"/>
                <w:sz w:val="21"/>
              </w:rPr>
              <w:t>外</w:t>
            </w:r>
          </w:p>
        </w:tc>
        <w:tc>
          <w:tcPr>
            <w:tcW w:w="1088" w:type="dxa"/>
            <w:noWrap w:val="0"/>
            <w:vAlign w:val="center"/>
          </w:tcPr>
          <w:p w14:paraId="57BD4398">
            <w:pPr>
              <w:spacing w:before="20" w:after="20" w:line="300" w:lineRule="auto"/>
              <w:jc w:val="center"/>
              <w:rPr>
                <w:rFonts w:ascii="Times New Roman" w:hAnsi="Times New Roman" w:eastAsia="宋体"/>
                <w:sz w:val="21"/>
              </w:rPr>
            </w:pPr>
            <w:r>
              <w:rPr>
                <w:rFonts w:hint="eastAsia" w:ascii="Times New Roman" w:hAnsi="Times New Roman" w:eastAsia="宋体"/>
                <w:sz w:val="21"/>
              </w:rPr>
              <w:t>1</w:t>
            </w:r>
          </w:p>
        </w:tc>
      </w:tr>
      <w:tr w14:paraId="75AEF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0422EEB7">
            <w:pPr>
              <w:spacing w:before="20" w:after="20" w:line="300" w:lineRule="auto"/>
              <w:jc w:val="center"/>
              <w:rPr>
                <w:rFonts w:hint="eastAsia"/>
                <w:b/>
              </w:rPr>
            </w:pPr>
          </w:p>
        </w:tc>
        <w:tc>
          <w:tcPr>
            <w:tcW w:w="6738" w:type="dxa"/>
            <w:noWrap w:val="0"/>
            <w:vAlign w:val="center"/>
          </w:tcPr>
          <w:p w14:paraId="08FC8723">
            <w:pPr>
              <w:spacing w:before="20" w:after="20" w:line="300" w:lineRule="auto"/>
              <w:rPr>
                <w:rFonts w:ascii="Times New Roman" w:hAnsi="Times New Roman" w:eastAsia="宋体"/>
                <w:sz w:val="21"/>
              </w:rPr>
            </w:pPr>
            <w:r>
              <w:rPr>
                <w:rFonts w:ascii="Times New Roman" w:hAnsi="Times New Roman" w:eastAsia="宋体"/>
                <w:sz w:val="21"/>
              </w:rPr>
              <w:t>位于生态保护红线范围</w:t>
            </w:r>
            <w:r>
              <w:rPr>
                <w:rFonts w:hint="eastAsia" w:ascii="Times New Roman" w:hAnsi="Times New Roman" w:eastAsia="宋体"/>
                <w:sz w:val="21"/>
              </w:rPr>
              <w:t>或</w:t>
            </w:r>
            <w:bookmarkStart w:id="14" w:name="FunCunProofread470857"/>
            <w:r>
              <w:rPr>
                <w:rFonts w:hint="eastAsia" w:ascii="Times New Roman" w:hAnsi="Times New Roman" w:eastAsia="宋体"/>
                <w:sz w:val="21"/>
              </w:rPr>
              <w:t>饮用水水源保护区</w:t>
            </w:r>
            <w:bookmarkEnd w:id="14"/>
            <w:r>
              <w:rPr>
                <w:rFonts w:hint="eastAsia" w:ascii="Times New Roman" w:hAnsi="Times New Roman" w:eastAsia="宋体"/>
                <w:sz w:val="21"/>
              </w:rPr>
              <w:t>范围</w:t>
            </w:r>
            <w:r>
              <w:rPr>
                <w:rFonts w:ascii="Times New Roman" w:hAnsi="Times New Roman" w:eastAsia="宋体"/>
                <w:sz w:val="21"/>
              </w:rPr>
              <w:t>以内</w:t>
            </w:r>
          </w:p>
        </w:tc>
        <w:tc>
          <w:tcPr>
            <w:tcW w:w="1088" w:type="dxa"/>
            <w:noWrap w:val="0"/>
            <w:vAlign w:val="center"/>
          </w:tcPr>
          <w:p w14:paraId="0ED5DF10">
            <w:pPr>
              <w:spacing w:before="20" w:after="20" w:line="300" w:lineRule="auto"/>
              <w:jc w:val="center"/>
              <w:rPr>
                <w:rFonts w:hint="eastAsia"/>
              </w:rPr>
            </w:pPr>
            <w:r>
              <w:rPr>
                <w:rFonts w:hint="eastAsia"/>
              </w:rPr>
              <w:t>5</w:t>
            </w:r>
          </w:p>
        </w:tc>
      </w:tr>
      <w:tr w14:paraId="5A8B4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restart"/>
            <w:noWrap w:val="0"/>
            <w:vAlign w:val="center"/>
          </w:tcPr>
          <w:p w14:paraId="226AB6EB">
            <w:pPr>
              <w:spacing w:before="20" w:after="20" w:line="300" w:lineRule="auto"/>
              <w:jc w:val="center"/>
              <w:rPr>
                <w:rFonts w:ascii="Times New Roman" w:hAnsi="Times New Roman" w:eastAsia="宋体"/>
                <w:b/>
                <w:sz w:val="21"/>
              </w:rPr>
            </w:pPr>
            <w:r>
              <w:rPr>
                <w:rFonts w:ascii="Times New Roman" w:hAnsi="Times New Roman" w:eastAsia="宋体"/>
                <w:b/>
                <w:sz w:val="21"/>
              </w:rPr>
              <w:t>违法所得</w:t>
            </w:r>
          </w:p>
          <w:p w14:paraId="2E8C5ED4">
            <w:pPr>
              <w:spacing w:before="20" w:after="20" w:line="300" w:lineRule="auto"/>
              <w:jc w:val="center"/>
              <w:rPr>
                <w:rFonts w:hint="eastAsia"/>
                <w:b/>
              </w:rPr>
            </w:pPr>
            <w:r>
              <w:rPr>
                <w:rFonts w:ascii="Times New Roman" w:hAnsi="Times New Roman" w:eastAsia="宋体"/>
                <w:b/>
                <w:sz w:val="21"/>
              </w:rPr>
              <w:t>金额</w:t>
            </w:r>
          </w:p>
        </w:tc>
        <w:tc>
          <w:tcPr>
            <w:tcW w:w="6738" w:type="dxa"/>
            <w:noWrap w:val="0"/>
            <w:vAlign w:val="center"/>
          </w:tcPr>
          <w:p w14:paraId="2AB52A5E">
            <w:pPr>
              <w:spacing w:before="20" w:after="20" w:line="300" w:lineRule="auto"/>
              <w:rPr>
                <w:rFonts w:ascii="Times New Roman" w:hAnsi="Times New Roman" w:eastAsia="宋体"/>
                <w:sz w:val="21"/>
              </w:rPr>
            </w:pPr>
            <w:r>
              <w:rPr>
                <w:rFonts w:hint="eastAsia" w:ascii="宋体" w:hAnsi="宋体" w:eastAsia="宋体"/>
                <w:sz w:val="21"/>
              </w:rPr>
              <w:t>不足2万元</w:t>
            </w:r>
          </w:p>
        </w:tc>
        <w:tc>
          <w:tcPr>
            <w:tcW w:w="1088" w:type="dxa"/>
            <w:noWrap w:val="0"/>
            <w:vAlign w:val="center"/>
          </w:tcPr>
          <w:p w14:paraId="76EBF260">
            <w:pPr>
              <w:spacing w:before="20" w:after="20" w:line="300" w:lineRule="auto"/>
              <w:jc w:val="center"/>
              <w:rPr>
                <w:rFonts w:hint="eastAsia"/>
              </w:rPr>
            </w:pPr>
            <w:r>
              <w:rPr>
                <w:rFonts w:hint="eastAsia"/>
              </w:rPr>
              <w:t>1</w:t>
            </w:r>
          </w:p>
        </w:tc>
      </w:tr>
      <w:tr w14:paraId="43E03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1C7E83CB">
            <w:pPr>
              <w:spacing w:before="20" w:after="20" w:line="300" w:lineRule="auto"/>
              <w:jc w:val="center"/>
              <w:rPr>
                <w:rFonts w:hint="eastAsia"/>
                <w:b/>
              </w:rPr>
            </w:pPr>
          </w:p>
        </w:tc>
        <w:tc>
          <w:tcPr>
            <w:tcW w:w="6738" w:type="dxa"/>
            <w:noWrap w:val="0"/>
            <w:vAlign w:val="center"/>
          </w:tcPr>
          <w:p w14:paraId="129DFFBC">
            <w:pPr>
              <w:spacing w:before="20" w:after="20" w:line="300" w:lineRule="auto"/>
              <w:rPr>
                <w:rFonts w:ascii="Times New Roman" w:hAnsi="Times New Roman" w:eastAsia="宋体"/>
                <w:sz w:val="21"/>
              </w:rPr>
            </w:pPr>
            <w:r>
              <w:rPr>
                <w:rFonts w:hint="eastAsia" w:ascii="宋体" w:hAnsi="宋体" w:eastAsia="宋体"/>
                <w:sz w:val="21"/>
              </w:rPr>
              <w:t>2万元以上，不足5万元</w:t>
            </w:r>
          </w:p>
        </w:tc>
        <w:tc>
          <w:tcPr>
            <w:tcW w:w="1088" w:type="dxa"/>
            <w:noWrap w:val="0"/>
            <w:vAlign w:val="center"/>
          </w:tcPr>
          <w:p w14:paraId="0F85E024">
            <w:pPr>
              <w:spacing w:before="20" w:after="20" w:line="300" w:lineRule="auto"/>
              <w:jc w:val="center"/>
              <w:rPr>
                <w:rFonts w:hint="eastAsia"/>
              </w:rPr>
            </w:pPr>
            <w:r>
              <w:rPr>
                <w:rFonts w:hint="eastAsia"/>
              </w:rPr>
              <w:t>2</w:t>
            </w:r>
          </w:p>
        </w:tc>
      </w:tr>
      <w:tr w14:paraId="3D2F9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37D2A86C">
            <w:pPr>
              <w:spacing w:before="20" w:after="20" w:line="300" w:lineRule="auto"/>
              <w:jc w:val="center"/>
              <w:rPr>
                <w:rFonts w:hint="eastAsia"/>
                <w:b/>
              </w:rPr>
            </w:pPr>
          </w:p>
        </w:tc>
        <w:tc>
          <w:tcPr>
            <w:tcW w:w="6738" w:type="dxa"/>
            <w:noWrap w:val="0"/>
            <w:vAlign w:val="center"/>
          </w:tcPr>
          <w:p w14:paraId="1EF4F228">
            <w:pPr>
              <w:spacing w:before="20" w:after="20" w:line="300" w:lineRule="auto"/>
              <w:rPr>
                <w:rFonts w:ascii="Times New Roman" w:hAnsi="Times New Roman" w:eastAsia="宋体"/>
                <w:sz w:val="21"/>
              </w:rPr>
            </w:pPr>
            <w:r>
              <w:rPr>
                <w:rFonts w:hint="eastAsia" w:ascii="宋体" w:hAnsi="宋体" w:eastAsia="宋体"/>
                <w:sz w:val="21"/>
              </w:rPr>
              <w:t>5万元以上，不足10万元</w:t>
            </w:r>
          </w:p>
        </w:tc>
        <w:tc>
          <w:tcPr>
            <w:tcW w:w="1088" w:type="dxa"/>
            <w:noWrap w:val="0"/>
            <w:vAlign w:val="center"/>
          </w:tcPr>
          <w:p w14:paraId="51C646AD">
            <w:pPr>
              <w:spacing w:before="20" w:after="20" w:line="300" w:lineRule="auto"/>
              <w:jc w:val="center"/>
              <w:rPr>
                <w:rFonts w:hint="eastAsia"/>
              </w:rPr>
            </w:pPr>
            <w:r>
              <w:rPr>
                <w:rFonts w:hint="eastAsia"/>
              </w:rPr>
              <w:t>3</w:t>
            </w:r>
          </w:p>
        </w:tc>
      </w:tr>
      <w:tr w14:paraId="46F55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6ABB772D">
            <w:pPr>
              <w:spacing w:before="20" w:after="20" w:line="300" w:lineRule="auto"/>
              <w:jc w:val="center"/>
              <w:rPr>
                <w:rFonts w:hint="eastAsia"/>
                <w:b/>
              </w:rPr>
            </w:pPr>
          </w:p>
        </w:tc>
        <w:tc>
          <w:tcPr>
            <w:tcW w:w="6738" w:type="dxa"/>
            <w:noWrap w:val="0"/>
            <w:vAlign w:val="center"/>
          </w:tcPr>
          <w:p w14:paraId="27459E67">
            <w:pPr>
              <w:spacing w:before="20" w:after="20" w:line="300" w:lineRule="auto"/>
              <w:rPr>
                <w:rFonts w:ascii="Times New Roman" w:hAnsi="Times New Roman" w:eastAsia="宋体"/>
                <w:sz w:val="21"/>
              </w:rPr>
            </w:pPr>
            <w:r>
              <w:rPr>
                <w:rFonts w:hint="eastAsia" w:ascii="宋体" w:hAnsi="宋体" w:eastAsia="宋体"/>
                <w:sz w:val="21"/>
              </w:rPr>
              <w:t>10万元以上，不足20万元</w:t>
            </w:r>
          </w:p>
        </w:tc>
        <w:tc>
          <w:tcPr>
            <w:tcW w:w="1088" w:type="dxa"/>
            <w:noWrap w:val="0"/>
            <w:vAlign w:val="center"/>
          </w:tcPr>
          <w:p w14:paraId="0FE0894A">
            <w:pPr>
              <w:spacing w:before="20" w:after="20" w:line="300" w:lineRule="auto"/>
              <w:jc w:val="center"/>
              <w:rPr>
                <w:rFonts w:hint="eastAsia"/>
              </w:rPr>
            </w:pPr>
            <w:r>
              <w:rPr>
                <w:rFonts w:hint="eastAsia"/>
              </w:rPr>
              <w:t>4</w:t>
            </w:r>
          </w:p>
        </w:tc>
      </w:tr>
      <w:tr w14:paraId="6EDEA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24B62F8B">
            <w:pPr>
              <w:spacing w:before="20" w:after="20" w:line="300" w:lineRule="auto"/>
              <w:jc w:val="center"/>
              <w:rPr>
                <w:rFonts w:hint="eastAsia"/>
                <w:b/>
              </w:rPr>
            </w:pPr>
          </w:p>
        </w:tc>
        <w:tc>
          <w:tcPr>
            <w:tcW w:w="6738" w:type="dxa"/>
            <w:noWrap w:val="0"/>
            <w:vAlign w:val="center"/>
          </w:tcPr>
          <w:p w14:paraId="417170E2">
            <w:pPr>
              <w:spacing w:before="20" w:after="20" w:line="300" w:lineRule="auto"/>
              <w:rPr>
                <w:rFonts w:ascii="Times New Roman" w:hAnsi="Times New Roman" w:eastAsia="宋体"/>
                <w:sz w:val="21"/>
              </w:rPr>
            </w:pPr>
            <w:r>
              <w:rPr>
                <w:rFonts w:hint="eastAsia" w:ascii="宋体" w:hAnsi="宋体" w:eastAsia="宋体"/>
                <w:sz w:val="21"/>
              </w:rPr>
              <w:t>20万元以上</w:t>
            </w:r>
          </w:p>
        </w:tc>
        <w:tc>
          <w:tcPr>
            <w:tcW w:w="1088" w:type="dxa"/>
            <w:noWrap w:val="0"/>
            <w:vAlign w:val="center"/>
          </w:tcPr>
          <w:p w14:paraId="7CA2ECFE">
            <w:pPr>
              <w:spacing w:before="20" w:after="20" w:line="300" w:lineRule="auto"/>
              <w:jc w:val="center"/>
              <w:rPr>
                <w:rFonts w:hint="eastAsia"/>
              </w:rPr>
            </w:pPr>
            <w:r>
              <w:rPr>
                <w:rFonts w:hint="eastAsia"/>
              </w:rPr>
              <w:t>5</w:t>
            </w:r>
          </w:p>
        </w:tc>
      </w:tr>
      <w:tr w14:paraId="236DE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restart"/>
            <w:noWrap w:val="0"/>
            <w:vAlign w:val="center"/>
          </w:tcPr>
          <w:p w14:paraId="04255E38">
            <w:pPr>
              <w:spacing w:before="20" w:after="20" w:line="300" w:lineRule="auto"/>
              <w:jc w:val="center"/>
              <w:rPr>
                <w:rFonts w:hint="eastAsia"/>
                <w:b/>
              </w:rPr>
            </w:pPr>
            <w:r>
              <w:rPr>
                <w:rFonts w:ascii="Times New Roman" w:hAnsi="Times New Roman" w:eastAsia="宋体"/>
                <w:b/>
                <w:sz w:val="21"/>
              </w:rPr>
              <w:t>违法行为持续时间</w:t>
            </w:r>
          </w:p>
        </w:tc>
        <w:tc>
          <w:tcPr>
            <w:tcW w:w="6738" w:type="dxa"/>
            <w:noWrap w:val="0"/>
            <w:vAlign w:val="center"/>
          </w:tcPr>
          <w:p w14:paraId="5DB0B06A">
            <w:pPr>
              <w:spacing w:before="20" w:after="20" w:line="300" w:lineRule="auto"/>
              <w:rPr>
                <w:rFonts w:ascii="Times New Roman" w:hAnsi="Times New Roman" w:eastAsia="宋体"/>
                <w:sz w:val="21"/>
              </w:rPr>
            </w:pPr>
            <w:r>
              <w:rPr>
                <w:rFonts w:hint="eastAsia" w:ascii="宋体" w:hAnsi="宋体" w:eastAsia="宋体"/>
                <w:spacing w:val="7"/>
                <w:sz w:val="21"/>
                <w:szCs w:val="21"/>
              </w:rPr>
              <w:t>不足1</w:t>
            </w:r>
            <w:r>
              <w:rPr>
                <w:rFonts w:ascii="宋体" w:hAnsi="宋体" w:eastAsia="宋体"/>
                <w:spacing w:val="7"/>
                <w:sz w:val="21"/>
                <w:szCs w:val="21"/>
              </w:rPr>
              <w:t>个月</w:t>
            </w:r>
          </w:p>
        </w:tc>
        <w:tc>
          <w:tcPr>
            <w:tcW w:w="1088" w:type="dxa"/>
            <w:noWrap w:val="0"/>
            <w:vAlign w:val="center"/>
          </w:tcPr>
          <w:p w14:paraId="55BCA06F">
            <w:pPr>
              <w:spacing w:before="20" w:after="20" w:line="300" w:lineRule="auto"/>
              <w:jc w:val="center"/>
              <w:rPr>
                <w:rFonts w:hint="eastAsia"/>
              </w:rPr>
            </w:pPr>
            <w:r>
              <w:rPr>
                <w:rFonts w:hint="eastAsia"/>
              </w:rPr>
              <w:t>1</w:t>
            </w:r>
          </w:p>
        </w:tc>
      </w:tr>
      <w:tr w14:paraId="4CEC6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37A48117">
            <w:pPr>
              <w:spacing w:before="20" w:after="20" w:line="300" w:lineRule="auto"/>
              <w:jc w:val="center"/>
              <w:rPr>
                <w:rFonts w:hint="eastAsia"/>
                <w:b/>
              </w:rPr>
            </w:pPr>
          </w:p>
        </w:tc>
        <w:tc>
          <w:tcPr>
            <w:tcW w:w="6738" w:type="dxa"/>
            <w:noWrap w:val="0"/>
            <w:vAlign w:val="center"/>
          </w:tcPr>
          <w:p w14:paraId="2C02DFA3">
            <w:pPr>
              <w:spacing w:before="20" w:after="20" w:line="300" w:lineRule="auto"/>
              <w:rPr>
                <w:rFonts w:ascii="Times New Roman" w:hAnsi="Times New Roman" w:eastAsia="宋体"/>
                <w:sz w:val="21"/>
              </w:rPr>
            </w:pPr>
            <w:r>
              <w:rPr>
                <w:rFonts w:hint="eastAsia" w:ascii="宋体" w:hAnsi="宋体" w:eastAsia="宋体"/>
                <w:spacing w:val="7"/>
                <w:sz w:val="21"/>
                <w:szCs w:val="21"/>
              </w:rPr>
              <w:t>1</w:t>
            </w:r>
            <w:r>
              <w:rPr>
                <w:rFonts w:ascii="宋体" w:hAnsi="宋体" w:eastAsia="宋体"/>
                <w:spacing w:val="7"/>
                <w:sz w:val="21"/>
                <w:szCs w:val="21"/>
              </w:rPr>
              <w:t>个月以上</w:t>
            </w:r>
            <w:r>
              <w:rPr>
                <w:rFonts w:hint="eastAsia" w:ascii="宋体" w:hAnsi="宋体" w:eastAsia="宋体"/>
                <w:spacing w:val="7"/>
                <w:sz w:val="21"/>
                <w:szCs w:val="21"/>
              </w:rPr>
              <w:t>不足3</w:t>
            </w:r>
            <w:r>
              <w:rPr>
                <w:rFonts w:ascii="宋体" w:hAnsi="宋体" w:eastAsia="宋体"/>
                <w:spacing w:val="7"/>
                <w:sz w:val="21"/>
                <w:szCs w:val="21"/>
              </w:rPr>
              <w:t>个月</w:t>
            </w:r>
          </w:p>
        </w:tc>
        <w:tc>
          <w:tcPr>
            <w:tcW w:w="1088" w:type="dxa"/>
            <w:noWrap w:val="0"/>
            <w:vAlign w:val="center"/>
          </w:tcPr>
          <w:p w14:paraId="65A72004">
            <w:pPr>
              <w:spacing w:before="20" w:after="20" w:line="300" w:lineRule="auto"/>
              <w:jc w:val="center"/>
              <w:rPr>
                <w:rFonts w:hint="eastAsia"/>
              </w:rPr>
            </w:pPr>
            <w:r>
              <w:rPr>
                <w:rFonts w:hint="eastAsia"/>
              </w:rPr>
              <w:t>2</w:t>
            </w:r>
          </w:p>
        </w:tc>
      </w:tr>
      <w:tr w14:paraId="4FB15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5415ED1A">
            <w:pPr>
              <w:spacing w:before="20" w:after="20" w:line="300" w:lineRule="auto"/>
              <w:jc w:val="center"/>
              <w:rPr>
                <w:rFonts w:hint="eastAsia"/>
                <w:b/>
              </w:rPr>
            </w:pPr>
          </w:p>
        </w:tc>
        <w:tc>
          <w:tcPr>
            <w:tcW w:w="6738" w:type="dxa"/>
            <w:noWrap w:val="0"/>
            <w:vAlign w:val="center"/>
          </w:tcPr>
          <w:p w14:paraId="6750E0F3">
            <w:pPr>
              <w:spacing w:before="20" w:after="20" w:line="300" w:lineRule="auto"/>
              <w:rPr>
                <w:rFonts w:ascii="Times New Roman" w:hAnsi="Times New Roman" w:eastAsia="宋体"/>
                <w:sz w:val="21"/>
              </w:rPr>
            </w:pPr>
            <w:r>
              <w:rPr>
                <w:rFonts w:hint="eastAsia" w:ascii="宋体" w:hAnsi="宋体" w:eastAsia="宋体"/>
                <w:spacing w:val="7"/>
                <w:sz w:val="21"/>
                <w:szCs w:val="21"/>
              </w:rPr>
              <w:t>3</w:t>
            </w:r>
            <w:r>
              <w:rPr>
                <w:rFonts w:ascii="宋体" w:hAnsi="宋体" w:eastAsia="宋体"/>
                <w:spacing w:val="7"/>
                <w:sz w:val="21"/>
                <w:szCs w:val="21"/>
              </w:rPr>
              <w:t>个月以上</w:t>
            </w:r>
            <w:r>
              <w:rPr>
                <w:rFonts w:hint="eastAsia" w:ascii="宋体" w:hAnsi="宋体" w:eastAsia="宋体"/>
                <w:spacing w:val="7"/>
                <w:sz w:val="21"/>
                <w:szCs w:val="21"/>
              </w:rPr>
              <w:t>不足6个月</w:t>
            </w:r>
          </w:p>
        </w:tc>
        <w:tc>
          <w:tcPr>
            <w:tcW w:w="1088" w:type="dxa"/>
            <w:noWrap w:val="0"/>
            <w:vAlign w:val="center"/>
          </w:tcPr>
          <w:p w14:paraId="51509364">
            <w:pPr>
              <w:spacing w:before="20" w:after="20" w:line="300" w:lineRule="auto"/>
              <w:jc w:val="center"/>
              <w:rPr>
                <w:rFonts w:hint="eastAsia"/>
              </w:rPr>
            </w:pPr>
            <w:r>
              <w:rPr>
                <w:rFonts w:hint="eastAsia"/>
              </w:rPr>
              <w:t>3</w:t>
            </w:r>
          </w:p>
        </w:tc>
      </w:tr>
      <w:tr w14:paraId="5ADC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735DD28C">
            <w:pPr>
              <w:spacing w:before="20" w:after="20" w:line="300" w:lineRule="auto"/>
              <w:jc w:val="center"/>
              <w:rPr>
                <w:rFonts w:hint="eastAsia"/>
                <w:b/>
              </w:rPr>
            </w:pPr>
          </w:p>
        </w:tc>
        <w:tc>
          <w:tcPr>
            <w:tcW w:w="6738" w:type="dxa"/>
            <w:noWrap w:val="0"/>
            <w:vAlign w:val="center"/>
          </w:tcPr>
          <w:p w14:paraId="0C3F47E0">
            <w:pPr>
              <w:spacing w:before="20" w:after="20" w:line="300" w:lineRule="auto"/>
              <w:rPr>
                <w:rFonts w:ascii="Times New Roman" w:hAnsi="Times New Roman" w:eastAsia="宋体"/>
                <w:sz w:val="21"/>
              </w:rPr>
            </w:pPr>
            <w:r>
              <w:rPr>
                <w:rFonts w:hint="eastAsia" w:ascii="宋体" w:hAnsi="宋体" w:eastAsia="宋体"/>
                <w:spacing w:val="7"/>
                <w:sz w:val="21"/>
                <w:szCs w:val="21"/>
              </w:rPr>
              <w:t>6个月</w:t>
            </w:r>
            <w:r>
              <w:rPr>
                <w:rFonts w:ascii="宋体" w:hAnsi="宋体" w:eastAsia="宋体"/>
                <w:spacing w:val="7"/>
                <w:sz w:val="21"/>
                <w:szCs w:val="21"/>
              </w:rPr>
              <w:t>以上</w:t>
            </w:r>
            <w:r>
              <w:rPr>
                <w:rFonts w:hint="eastAsia" w:ascii="宋体" w:hAnsi="宋体" w:eastAsia="宋体"/>
                <w:spacing w:val="7"/>
                <w:sz w:val="21"/>
                <w:szCs w:val="21"/>
              </w:rPr>
              <w:t>不足1</w:t>
            </w:r>
            <w:r>
              <w:rPr>
                <w:rFonts w:ascii="宋体" w:hAnsi="宋体" w:eastAsia="宋体"/>
                <w:spacing w:val="7"/>
                <w:sz w:val="21"/>
                <w:szCs w:val="21"/>
              </w:rPr>
              <w:t>年</w:t>
            </w:r>
          </w:p>
        </w:tc>
        <w:tc>
          <w:tcPr>
            <w:tcW w:w="1088" w:type="dxa"/>
            <w:noWrap w:val="0"/>
            <w:vAlign w:val="center"/>
          </w:tcPr>
          <w:p w14:paraId="42E286EB">
            <w:pPr>
              <w:spacing w:before="20" w:after="20" w:line="300" w:lineRule="auto"/>
              <w:jc w:val="center"/>
              <w:rPr>
                <w:rFonts w:hint="eastAsia"/>
              </w:rPr>
            </w:pPr>
            <w:r>
              <w:rPr>
                <w:rFonts w:hint="eastAsia"/>
              </w:rPr>
              <w:t>4</w:t>
            </w:r>
          </w:p>
        </w:tc>
      </w:tr>
      <w:tr w14:paraId="0C909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32A1AF63">
            <w:pPr>
              <w:spacing w:before="20" w:after="20" w:line="300" w:lineRule="auto"/>
              <w:jc w:val="center"/>
              <w:rPr>
                <w:rFonts w:hint="eastAsia"/>
                <w:b/>
              </w:rPr>
            </w:pPr>
          </w:p>
        </w:tc>
        <w:tc>
          <w:tcPr>
            <w:tcW w:w="6738" w:type="dxa"/>
            <w:noWrap w:val="0"/>
            <w:vAlign w:val="center"/>
          </w:tcPr>
          <w:p w14:paraId="2F1C8F5D">
            <w:pPr>
              <w:spacing w:before="20" w:after="20" w:line="300" w:lineRule="auto"/>
              <w:rPr>
                <w:rFonts w:ascii="Times New Roman" w:hAnsi="Times New Roman" w:eastAsia="宋体"/>
                <w:sz w:val="21"/>
              </w:rPr>
            </w:pPr>
            <w:r>
              <w:rPr>
                <w:rFonts w:hint="eastAsia" w:ascii="宋体" w:hAnsi="宋体" w:eastAsia="宋体"/>
                <w:spacing w:val="7"/>
                <w:sz w:val="21"/>
                <w:szCs w:val="21"/>
              </w:rPr>
              <w:t>1</w:t>
            </w:r>
            <w:r>
              <w:rPr>
                <w:rFonts w:ascii="宋体" w:hAnsi="宋体" w:eastAsia="宋体"/>
                <w:spacing w:val="7"/>
                <w:sz w:val="21"/>
                <w:szCs w:val="21"/>
              </w:rPr>
              <w:t>年以上</w:t>
            </w:r>
          </w:p>
        </w:tc>
        <w:tc>
          <w:tcPr>
            <w:tcW w:w="1088" w:type="dxa"/>
            <w:noWrap w:val="0"/>
            <w:vAlign w:val="center"/>
          </w:tcPr>
          <w:p w14:paraId="5F902509">
            <w:pPr>
              <w:spacing w:before="20" w:after="20" w:line="300" w:lineRule="auto"/>
              <w:jc w:val="center"/>
              <w:rPr>
                <w:rFonts w:hint="eastAsia"/>
              </w:rPr>
            </w:pPr>
            <w:r>
              <w:rPr>
                <w:rFonts w:hint="eastAsia"/>
              </w:rPr>
              <w:t>5</w:t>
            </w:r>
          </w:p>
        </w:tc>
      </w:tr>
      <w:tr w14:paraId="36C86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noWrap w:val="0"/>
            <w:vAlign w:val="center"/>
          </w:tcPr>
          <w:p w14:paraId="74AD8B89">
            <w:pPr>
              <w:spacing w:before="20" w:after="20" w:line="300" w:lineRule="auto"/>
              <w:jc w:val="center"/>
              <w:rPr>
                <w:rFonts w:hint="eastAsia"/>
                <w:b/>
              </w:rPr>
            </w:pPr>
            <w:r>
              <w:rPr>
                <w:rFonts w:hint="eastAsia"/>
                <w:b/>
              </w:rPr>
              <w:t>备注</w:t>
            </w:r>
          </w:p>
        </w:tc>
        <w:tc>
          <w:tcPr>
            <w:tcW w:w="7826" w:type="dxa"/>
            <w:gridSpan w:val="2"/>
            <w:noWrap w:val="0"/>
            <w:vAlign w:val="center"/>
          </w:tcPr>
          <w:p w14:paraId="03245E74">
            <w:pPr>
              <w:spacing w:before="20" w:after="20" w:line="300" w:lineRule="auto"/>
              <w:rPr>
                <w:rFonts w:hint="eastAsia"/>
              </w:rPr>
            </w:pPr>
            <w:r>
              <w:rPr>
                <w:rFonts w:ascii="Times New Roman" w:hAnsi="Times New Roman" w:eastAsia="宋体"/>
                <w:sz w:val="21"/>
              </w:rPr>
              <w:t>《云南省生态环境行政处罚裁量权基准表》（2026年版）（二）违反生态环境影响评价管理规定的行为部分第5项仅收录了《生态环境法典》第一千零九十八条中</w:t>
            </w:r>
            <w:r>
              <w:rPr>
                <w:rFonts w:hint="eastAsia" w:ascii="Times New Roman" w:hAnsi="Times New Roman" w:eastAsia="宋体"/>
                <w:sz w:val="21"/>
              </w:rPr>
              <w:t>“</w:t>
            </w:r>
            <w:r>
              <w:rPr>
                <w:rFonts w:ascii="Times New Roman" w:hAnsi="Times New Roman" w:eastAsia="宋体"/>
                <w:sz w:val="21"/>
              </w:rPr>
              <w:t>技术单位和人员与负责审批的部门存在利益关系</w:t>
            </w:r>
            <w:r>
              <w:rPr>
                <w:rFonts w:hint="eastAsia" w:ascii="Times New Roman" w:hAnsi="Times New Roman" w:eastAsia="宋体"/>
                <w:sz w:val="21"/>
              </w:rPr>
              <w:t>”</w:t>
            </w:r>
            <w:r>
              <w:rPr>
                <w:rFonts w:ascii="Times New Roman" w:hAnsi="Times New Roman" w:eastAsia="宋体"/>
                <w:sz w:val="21"/>
              </w:rPr>
              <w:t>的情形，遗漏了该条并列规定的</w:t>
            </w:r>
            <w:r>
              <w:rPr>
                <w:rFonts w:hint="eastAsia" w:ascii="Times New Roman" w:hAnsi="Times New Roman" w:eastAsia="宋体"/>
                <w:sz w:val="21"/>
              </w:rPr>
              <w:t>“</w:t>
            </w:r>
            <w:r>
              <w:rPr>
                <w:rFonts w:ascii="Times New Roman" w:hAnsi="Times New Roman" w:eastAsia="宋体"/>
                <w:sz w:val="21"/>
              </w:rPr>
              <w:t>技术单位未依法报生态环境主管部门备案</w:t>
            </w:r>
            <w:r>
              <w:rPr>
                <w:rFonts w:hint="eastAsia" w:ascii="Times New Roman" w:hAnsi="Times New Roman" w:eastAsia="宋体"/>
                <w:sz w:val="21"/>
              </w:rPr>
              <w:t>”</w:t>
            </w:r>
            <w:r>
              <w:rPr>
                <w:rFonts w:ascii="Times New Roman" w:hAnsi="Times New Roman" w:eastAsia="宋体"/>
                <w:sz w:val="21"/>
              </w:rPr>
              <w:t>的情形</w:t>
            </w:r>
            <w:r>
              <w:rPr>
                <w:rFonts w:hint="eastAsia" w:ascii="Times New Roman" w:hAnsi="Times New Roman" w:eastAsia="宋体"/>
                <w:sz w:val="21"/>
              </w:rPr>
              <w:t>。裁量因子之“违法行为持续时间”项仅适用于对未备案行为的裁量。</w:t>
            </w:r>
          </w:p>
        </w:tc>
      </w:tr>
    </w:tbl>
    <w:p w14:paraId="6AA2B4EE">
      <w:pPr>
        <w:spacing w:after="120" w:afterLines="50" w:line="480" w:lineRule="exact"/>
        <w:rPr>
          <w:rFonts w:ascii="Times New Roman" w:hAnsi="Times New Roman" w:eastAsia="黑体"/>
          <w:sz w:val="28"/>
          <w:szCs w:val="28"/>
        </w:rPr>
      </w:pPr>
      <w:r>
        <w:rPr>
          <w:rFonts w:hint="eastAsia" w:ascii="Times New Roman" w:hAnsi="Times New Roman" w:eastAsia="黑体"/>
          <w:sz w:val="28"/>
          <w:szCs w:val="28"/>
        </w:rPr>
        <w:t>（三）违反环境保护排污许可管理制度的行为</w:t>
      </w:r>
      <w:bookmarkEnd w:id="4"/>
      <w:bookmarkEnd w:id="5"/>
      <w:bookmarkEnd w:id="6"/>
      <w:bookmarkEnd w:id="7"/>
    </w:p>
    <w:p w14:paraId="24063819">
      <w:pPr>
        <w:spacing w:before="40" w:after="40" w:line="400" w:lineRule="auto"/>
        <w:jc w:val="both"/>
        <w:rPr>
          <w:rFonts w:ascii="Times New Roman" w:hAnsi="Times New Roman" w:eastAsia="黑体"/>
          <w:b/>
          <w:sz w:val="24"/>
        </w:rPr>
      </w:pPr>
      <w:r>
        <w:rPr>
          <w:rFonts w:ascii="Times New Roman" w:hAnsi="Times New Roman" w:eastAsia="黑体"/>
          <w:b/>
          <w:sz w:val="24"/>
        </w:rPr>
        <w:t>1.未依法取得排污许可证排放污染物的行为</w:t>
      </w:r>
    </w:p>
    <w:tbl>
      <w:tblPr>
        <w:tblStyle w:val="8"/>
        <w:tblW w:w="49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60"/>
        <w:gridCol w:w="6714"/>
        <w:gridCol w:w="1067"/>
      </w:tblGrid>
      <w:tr w14:paraId="10B43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noWrap w:val="0"/>
            <w:tcMar>
              <w:top w:w="0" w:type="dxa"/>
              <w:left w:w="57" w:type="dxa"/>
              <w:bottom w:w="0" w:type="dxa"/>
              <w:right w:w="57" w:type="dxa"/>
            </w:tcMar>
            <w:vAlign w:val="center"/>
          </w:tcPr>
          <w:p w14:paraId="5D212234">
            <w:pPr>
              <w:spacing w:before="20" w:after="20" w:line="300" w:lineRule="auto"/>
              <w:jc w:val="center"/>
              <w:rPr>
                <w:rFonts w:hint="eastAsia"/>
                <w:b/>
              </w:rPr>
            </w:pPr>
            <w:bookmarkStart w:id="15" w:name="_Hlk238138188"/>
            <w:r>
              <w:rPr>
                <w:b/>
              </w:rPr>
              <w:t>违反条款</w:t>
            </w:r>
          </w:p>
        </w:tc>
        <w:tc>
          <w:tcPr>
            <w:tcW w:w="4303" w:type="pct"/>
            <w:gridSpan w:val="2"/>
            <w:noWrap w:val="0"/>
            <w:tcMar>
              <w:top w:w="0" w:type="dxa"/>
              <w:left w:w="57" w:type="dxa"/>
              <w:bottom w:w="0" w:type="dxa"/>
              <w:right w:w="57" w:type="dxa"/>
            </w:tcMar>
            <w:vAlign w:val="center"/>
          </w:tcPr>
          <w:p w14:paraId="7609BFC0">
            <w:pPr>
              <w:spacing w:before="20" w:after="20" w:line="300" w:lineRule="auto"/>
              <w:rPr>
                <w:rFonts w:ascii="Times New Roman" w:hAnsi="Times New Roman" w:eastAsia="宋体"/>
                <w:sz w:val="21"/>
              </w:rPr>
            </w:pPr>
            <w:r>
              <w:rPr>
                <w:rFonts w:ascii="Times New Roman" w:hAnsi="Times New Roman" w:eastAsia="宋体"/>
                <w:sz w:val="21"/>
              </w:rPr>
              <w:t>1.《中华人民共和国生态环境法典》第一百七十四条</w:t>
            </w:r>
            <w:r>
              <w:rPr>
                <w:rFonts w:hint="eastAsia" w:ascii="Times New Roman" w:hAnsi="Times New Roman" w:eastAsia="宋体"/>
                <w:sz w:val="21"/>
              </w:rPr>
              <w:t xml:space="preserve">第二款 </w:t>
            </w:r>
            <w:r>
              <w:rPr>
                <w:rFonts w:ascii="Times New Roman" w:hAnsi="Times New Roman" w:eastAsia="宋体"/>
                <w:sz w:val="21"/>
              </w:rPr>
              <w:t>实行排污许可管理的企业事业单位和其他生产经营者应当按照规定取得排污许可证，未取得排污许可证的不得排放污染物。</w:t>
            </w:r>
          </w:p>
          <w:p w14:paraId="63E80998">
            <w:pPr>
              <w:spacing w:before="20" w:after="20" w:line="300" w:lineRule="auto"/>
              <w:rPr>
                <w:rFonts w:ascii="Times New Roman" w:hAnsi="Times New Roman" w:eastAsia="宋体"/>
                <w:sz w:val="21"/>
              </w:rPr>
            </w:pPr>
            <w:r>
              <w:rPr>
                <w:rFonts w:hint="eastAsia" w:ascii="Times New Roman" w:hAnsi="Times New Roman" w:eastAsia="宋体"/>
                <w:sz w:val="21"/>
              </w:rPr>
              <w:t>第一百七十五条第一款　根据污染物产生量、排放量、对生态环境的影响程度等因素，对实行排污许可管理的企业事业单位和其他生产经营者实行排污许可分类管理：</w:t>
            </w:r>
          </w:p>
          <w:p w14:paraId="62FB6AA4">
            <w:pPr>
              <w:spacing w:before="20" w:after="20" w:line="300" w:lineRule="auto"/>
              <w:rPr>
                <w:rFonts w:ascii="Times New Roman" w:hAnsi="Times New Roman" w:eastAsia="宋体"/>
                <w:sz w:val="21"/>
              </w:rPr>
            </w:pPr>
            <w:r>
              <w:rPr>
                <w:rFonts w:hint="eastAsia" w:ascii="Times New Roman" w:hAnsi="Times New Roman" w:eastAsia="宋体"/>
                <w:sz w:val="21"/>
              </w:rPr>
              <w:t>（一）污染物产生量、排放量或者对生态环境的影响程度较大的，实行排污许可重点管理；</w:t>
            </w:r>
          </w:p>
          <w:p w14:paraId="5E2CD871">
            <w:pPr>
              <w:spacing w:before="20" w:after="20" w:line="300" w:lineRule="auto"/>
              <w:rPr>
                <w:rFonts w:ascii="Times New Roman" w:hAnsi="Times New Roman" w:eastAsia="宋体"/>
                <w:sz w:val="21"/>
              </w:rPr>
            </w:pPr>
            <w:r>
              <w:rPr>
                <w:rFonts w:hint="eastAsia" w:ascii="Times New Roman" w:hAnsi="Times New Roman" w:eastAsia="宋体"/>
                <w:sz w:val="21"/>
              </w:rPr>
              <w:t>（二）污染物产生量、排放量和对生态环境的影响程度都较小的，实行排污许可简化管理。</w:t>
            </w:r>
          </w:p>
          <w:p w14:paraId="7F055294">
            <w:pPr>
              <w:spacing w:before="20" w:after="20" w:line="300" w:lineRule="auto"/>
              <w:rPr>
                <w:rFonts w:ascii="Times New Roman" w:hAnsi="Times New Roman" w:eastAsia="宋体"/>
                <w:sz w:val="21"/>
              </w:rPr>
            </w:pPr>
            <w:r>
              <w:rPr>
                <w:rFonts w:ascii="Times New Roman" w:hAnsi="Times New Roman" w:eastAsia="宋体"/>
                <w:sz w:val="21"/>
              </w:rPr>
              <w:t>第一百七十六条</w:t>
            </w:r>
            <w:r>
              <w:rPr>
                <w:rFonts w:hint="eastAsia" w:ascii="Times New Roman" w:hAnsi="Times New Roman" w:eastAsia="宋体"/>
                <w:sz w:val="21"/>
              </w:rPr>
              <w:t xml:space="preserve"> </w:t>
            </w:r>
            <w:r>
              <w:rPr>
                <w:rFonts w:ascii="Times New Roman" w:hAnsi="Times New Roman" w:eastAsia="宋体"/>
                <w:sz w:val="21"/>
              </w:rPr>
              <w:t>下列企业事业单位和其他生产经营者应当取得排污许可证：</w:t>
            </w:r>
          </w:p>
          <w:p w14:paraId="3C8033E9">
            <w:pPr>
              <w:spacing w:before="20" w:after="20" w:line="300" w:lineRule="auto"/>
              <w:rPr>
                <w:rFonts w:ascii="Times New Roman" w:hAnsi="Times New Roman" w:eastAsia="宋体"/>
                <w:sz w:val="21"/>
              </w:rPr>
            </w:pPr>
            <w:r>
              <w:rPr>
                <w:rFonts w:ascii="Times New Roman" w:hAnsi="Times New Roman" w:eastAsia="宋体"/>
                <w:sz w:val="21"/>
              </w:rPr>
              <w:t>（一）排放工业废气或者有毒有害大气污染物的企业事业单位和集中供热设施的燃煤热源生产运营单位；</w:t>
            </w:r>
          </w:p>
          <w:p w14:paraId="560B7C06">
            <w:pPr>
              <w:spacing w:before="20" w:after="20" w:line="300" w:lineRule="auto"/>
              <w:rPr>
                <w:rFonts w:ascii="Times New Roman" w:hAnsi="Times New Roman" w:eastAsia="宋体"/>
                <w:sz w:val="21"/>
              </w:rPr>
            </w:pPr>
            <w:r>
              <w:rPr>
                <w:rFonts w:ascii="Times New Roman" w:hAnsi="Times New Roman" w:eastAsia="宋体"/>
                <w:sz w:val="21"/>
              </w:rPr>
              <w:t>（二）直接或者间接向水体排放工业废水、医疗污水的企业事业单位和其他生产经营者；</w:t>
            </w:r>
          </w:p>
          <w:p w14:paraId="25EAFDB6">
            <w:pPr>
              <w:spacing w:before="20" w:after="20" w:line="300" w:lineRule="auto"/>
              <w:rPr>
                <w:rFonts w:ascii="Times New Roman" w:hAnsi="Times New Roman" w:eastAsia="宋体"/>
                <w:sz w:val="21"/>
              </w:rPr>
            </w:pPr>
            <w:r>
              <w:rPr>
                <w:rFonts w:ascii="Times New Roman" w:hAnsi="Times New Roman" w:eastAsia="宋体"/>
                <w:sz w:val="21"/>
              </w:rPr>
              <w:t>（三）城镇污水集中处理设施的运营单位；</w:t>
            </w:r>
          </w:p>
          <w:p w14:paraId="7A414FFD">
            <w:pPr>
              <w:spacing w:before="20" w:after="20" w:line="300" w:lineRule="auto"/>
              <w:rPr>
                <w:rFonts w:ascii="Times New Roman" w:hAnsi="Times New Roman" w:eastAsia="宋体"/>
                <w:sz w:val="21"/>
              </w:rPr>
            </w:pPr>
            <w:r>
              <w:rPr>
                <w:rFonts w:ascii="Times New Roman" w:hAnsi="Times New Roman" w:eastAsia="宋体"/>
                <w:sz w:val="21"/>
              </w:rPr>
              <w:t>（四）直接向海洋排放工业废水、医疗污水的海岸工程和海洋工程单位；</w:t>
            </w:r>
          </w:p>
          <w:p w14:paraId="07A3AAB4">
            <w:pPr>
              <w:spacing w:before="20" w:after="20" w:line="300" w:lineRule="auto"/>
              <w:rPr>
                <w:rFonts w:ascii="Times New Roman" w:hAnsi="Times New Roman" w:eastAsia="宋体"/>
                <w:sz w:val="21"/>
              </w:rPr>
            </w:pPr>
            <w:r>
              <w:rPr>
                <w:rFonts w:ascii="Times New Roman" w:hAnsi="Times New Roman" w:eastAsia="宋体"/>
                <w:sz w:val="21"/>
              </w:rPr>
              <w:t>（五）产生工业固体废物的单位；</w:t>
            </w:r>
          </w:p>
          <w:p w14:paraId="502941CA">
            <w:pPr>
              <w:spacing w:before="20" w:after="20" w:line="300" w:lineRule="auto"/>
              <w:rPr>
                <w:rFonts w:ascii="Times New Roman" w:hAnsi="Times New Roman" w:eastAsia="宋体"/>
                <w:sz w:val="21"/>
              </w:rPr>
            </w:pPr>
            <w:r>
              <w:rPr>
                <w:rFonts w:ascii="Times New Roman" w:hAnsi="Times New Roman" w:eastAsia="宋体"/>
                <w:sz w:val="21"/>
              </w:rPr>
              <w:t>（六）排放工业噪声的企业事业单位和其他生产经营者；</w:t>
            </w:r>
          </w:p>
          <w:p w14:paraId="0BD12B45">
            <w:pPr>
              <w:spacing w:before="20" w:after="20" w:line="300" w:lineRule="auto"/>
              <w:rPr>
                <w:rFonts w:ascii="Times New Roman" w:hAnsi="Times New Roman" w:eastAsia="宋体"/>
                <w:sz w:val="21"/>
              </w:rPr>
            </w:pPr>
            <w:r>
              <w:rPr>
                <w:rFonts w:ascii="Times New Roman" w:hAnsi="Times New Roman" w:eastAsia="宋体"/>
                <w:sz w:val="21"/>
              </w:rPr>
              <w:t>（七）排放放射性废液或者产生放射性固体废物的伴生放射性矿开发利用单位；</w:t>
            </w:r>
          </w:p>
          <w:p w14:paraId="28FDCEBD">
            <w:pPr>
              <w:spacing w:before="20" w:after="20" w:line="300" w:lineRule="auto"/>
              <w:rPr>
                <w:rFonts w:ascii="Times New Roman" w:hAnsi="Times New Roman" w:eastAsia="宋体"/>
                <w:sz w:val="21"/>
              </w:rPr>
            </w:pPr>
            <w:r>
              <w:rPr>
                <w:rFonts w:ascii="Times New Roman" w:hAnsi="Times New Roman" w:eastAsia="宋体"/>
                <w:sz w:val="21"/>
              </w:rPr>
              <w:t>（八）运行一类电磁辐射设施的企业事业单位和依法实行排污许可管理的运行二类电磁辐射设施的企业事业单位；</w:t>
            </w:r>
          </w:p>
          <w:p w14:paraId="115DBC33">
            <w:pPr>
              <w:spacing w:before="20" w:after="20" w:line="300" w:lineRule="auto"/>
              <w:rPr>
                <w:rFonts w:ascii="Times New Roman" w:hAnsi="Times New Roman" w:eastAsia="宋体"/>
                <w:sz w:val="21"/>
              </w:rPr>
            </w:pPr>
            <w:r>
              <w:rPr>
                <w:rFonts w:ascii="Times New Roman" w:hAnsi="Times New Roman" w:eastAsia="宋体"/>
                <w:sz w:val="21"/>
              </w:rPr>
              <w:t>（九）其他依照法律、行政法规规定实行排污许可管理的企业事业单位和其他生产经营者。</w:t>
            </w:r>
          </w:p>
          <w:p w14:paraId="1BF50C58">
            <w:pPr>
              <w:spacing w:before="20" w:after="20" w:line="300" w:lineRule="auto"/>
              <w:rPr>
                <w:rFonts w:ascii="Times New Roman" w:hAnsi="Times New Roman" w:eastAsia="宋体"/>
                <w:sz w:val="21"/>
              </w:rPr>
            </w:pPr>
            <w:r>
              <w:rPr>
                <w:rFonts w:hint="eastAsia" w:ascii="Times New Roman" w:hAnsi="Times New Roman" w:eastAsia="宋体"/>
                <w:sz w:val="21"/>
              </w:rPr>
              <w:t>第一百八十二条　排污许可证有效期为五年。在排污许可证有效期内，实行排污许可管理的企业事业单位和其他生产经营者有下列情形之一的，应当重新取得排污许可证：</w:t>
            </w:r>
          </w:p>
          <w:p w14:paraId="636D937C">
            <w:pPr>
              <w:spacing w:before="20" w:after="20" w:line="300" w:lineRule="auto"/>
              <w:rPr>
                <w:rFonts w:ascii="Times New Roman" w:hAnsi="Times New Roman" w:eastAsia="宋体"/>
                <w:sz w:val="21"/>
              </w:rPr>
            </w:pPr>
            <w:r>
              <w:rPr>
                <w:rFonts w:hint="eastAsia" w:ascii="Times New Roman" w:hAnsi="Times New Roman" w:eastAsia="宋体"/>
                <w:sz w:val="21"/>
              </w:rPr>
              <w:t>（一）新建、改建、扩建排放污染物的项目；</w:t>
            </w:r>
          </w:p>
          <w:p w14:paraId="42480DD8">
            <w:pPr>
              <w:spacing w:before="20" w:after="20" w:line="300" w:lineRule="auto"/>
              <w:rPr>
                <w:rFonts w:ascii="Times New Roman" w:hAnsi="Times New Roman" w:eastAsia="宋体"/>
                <w:sz w:val="21"/>
              </w:rPr>
            </w:pPr>
            <w:r>
              <w:rPr>
                <w:rFonts w:hint="eastAsia" w:ascii="Times New Roman" w:hAnsi="Times New Roman" w:eastAsia="宋体"/>
                <w:sz w:val="21"/>
              </w:rPr>
              <w:t>（二）生产经营场所、排污口位置或者污染物排放方式、排放去向发生变化；</w:t>
            </w:r>
          </w:p>
          <w:p w14:paraId="79A08689">
            <w:pPr>
              <w:spacing w:before="20" w:after="20" w:line="300" w:lineRule="auto"/>
              <w:rPr>
                <w:rFonts w:ascii="Times New Roman" w:hAnsi="Times New Roman" w:eastAsia="宋体"/>
                <w:sz w:val="21"/>
              </w:rPr>
            </w:pPr>
            <w:r>
              <w:rPr>
                <w:rFonts w:hint="eastAsia" w:ascii="Times New Roman" w:hAnsi="Times New Roman" w:eastAsia="宋体"/>
                <w:sz w:val="21"/>
              </w:rPr>
              <w:t>（三）排污口数量或者污染物排放种类、排放浓度、排放量增加；</w:t>
            </w:r>
          </w:p>
          <w:p w14:paraId="194D14F3">
            <w:pPr>
              <w:spacing w:before="20" w:after="20" w:line="300" w:lineRule="auto"/>
              <w:rPr>
                <w:rFonts w:ascii="Times New Roman" w:hAnsi="Times New Roman" w:eastAsia="宋体"/>
                <w:sz w:val="21"/>
              </w:rPr>
            </w:pPr>
            <w:r>
              <w:rPr>
                <w:rFonts w:hint="eastAsia" w:ascii="Times New Roman" w:hAnsi="Times New Roman" w:eastAsia="宋体"/>
                <w:sz w:val="21"/>
              </w:rPr>
              <w:t>（四）法律、行政法规规定的其他情形。</w:t>
            </w:r>
          </w:p>
          <w:p w14:paraId="54B8A802">
            <w:pPr>
              <w:spacing w:before="20" w:after="20" w:line="300" w:lineRule="auto"/>
              <w:rPr>
                <w:rFonts w:ascii="Times New Roman" w:hAnsi="Times New Roman" w:eastAsia="宋体"/>
                <w:sz w:val="21"/>
              </w:rPr>
            </w:pPr>
            <w:r>
              <w:rPr>
                <w:rFonts w:hint="eastAsia" w:ascii="Times New Roman" w:hAnsi="Times New Roman" w:eastAsia="宋体"/>
                <w:sz w:val="21"/>
              </w:rPr>
              <w:t>2</w:t>
            </w:r>
            <w:r>
              <w:rPr>
                <w:rFonts w:ascii="Times New Roman" w:hAnsi="Times New Roman" w:eastAsia="宋体"/>
                <w:sz w:val="21"/>
              </w:rPr>
              <w:t>.</w:t>
            </w:r>
            <w:r>
              <w:rPr>
                <w:rFonts w:hint="eastAsia" w:ascii="Times New Roman" w:hAnsi="Times New Roman" w:eastAsia="宋体"/>
                <w:sz w:val="21"/>
              </w:rPr>
              <w:t>《排污许可管理条例》</w:t>
            </w:r>
            <w:r>
              <w:rPr>
                <w:rFonts w:ascii="Times New Roman" w:hAnsi="Times New Roman" w:eastAsia="宋体"/>
                <w:sz w:val="21"/>
              </w:rPr>
              <w:t>第二条第一款</w:t>
            </w:r>
            <w:r>
              <w:rPr>
                <w:rFonts w:hint="eastAsia" w:ascii="Times New Roman" w:hAnsi="Times New Roman" w:eastAsia="宋体"/>
                <w:sz w:val="21"/>
              </w:rPr>
              <w:t>、第二款</w:t>
            </w:r>
            <w:r>
              <w:rPr>
                <w:rFonts w:ascii="Times New Roman" w:hAnsi="Times New Roman" w:eastAsia="宋体"/>
                <w:sz w:val="21"/>
              </w:rPr>
              <w:t xml:space="preserve"> 依照法律规定实行排污许可管理的企业事业单位和其他生产经营者（以</w:t>
            </w:r>
            <w:r>
              <w:rPr>
                <w:rFonts w:hint="eastAsia" w:ascii="Times New Roman" w:hAnsi="Times New Roman" w:eastAsia="宋体"/>
                <w:sz w:val="21"/>
              </w:rPr>
              <w:t>下简</w:t>
            </w:r>
            <w:r>
              <w:rPr>
                <w:rFonts w:ascii="Times New Roman" w:hAnsi="Times New Roman" w:eastAsia="宋体"/>
                <w:sz w:val="21"/>
              </w:rPr>
              <w:t>称排污单位），应当依照本条例规定申请取得排污许可证；未取得排污许可证的，不得排放污染物。</w:t>
            </w:r>
          </w:p>
          <w:p w14:paraId="1513A75F">
            <w:pPr>
              <w:spacing w:before="20" w:after="20" w:line="300" w:lineRule="auto"/>
              <w:rPr>
                <w:rFonts w:ascii="Times New Roman" w:hAnsi="Times New Roman" w:eastAsia="宋体"/>
                <w:sz w:val="21"/>
              </w:rPr>
            </w:pPr>
            <w:r>
              <w:rPr>
                <w:rFonts w:hint="eastAsia" w:ascii="Times New Roman" w:hAnsi="Times New Roman" w:eastAsia="宋体"/>
                <w:sz w:val="21"/>
              </w:rPr>
              <w:t>根据污染物产生量、排放量、对环境的影响程度等因素，对排污单位实行排污许可分类管理：</w:t>
            </w:r>
          </w:p>
          <w:p w14:paraId="08243992">
            <w:pPr>
              <w:spacing w:before="20" w:after="20" w:line="300" w:lineRule="auto"/>
              <w:rPr>
                <w:rFonts w:ascii="Times New Roman" w:hAnsi="Times New Roman" w:eastAsia="宋体"/>
                <w:sz w:val="21"/>
              </w:rPr>
            </w:pPr>
            <w:r>
              <w:rPr>
                <w:rFonts w:hint="eastAsia" w:ascii="Times New Roman" w:hAnsi="Times New Roman" w:eastAsia="宋体"/>
                <w:sz w:val="21"/>
              </w:rPr>
              <w:t>（一）污染物产生量、排放量或者对环境的影响程度较大的排污单位，实行排污许可重点管理；</w:t>
            </w:r>
          </w:p>
          <w:p w14:paraId="0EED3614">
            <w:pPr>
              <w:spacing w:before="20" w:after="20" w:line="300" w:lineRule="auto"/>
              <w:rPr>
                <w:rFonts w:ascii="Times New Roman" w:hAnsi="Times New Roman" w:eastAsia="宋体"/>
                <w:sz w:val="21"/>
              </w:rPr>
            </w:pPr>
            <w:r>
              <w:rPr>
                <w:rFonts w:hint="eastAsia" w:ascii="Times New Roman" w:hAnsi="Times New Roman" w:eastAsia="宋体"/>
                <w:sz w:val="21"/>
              </w:rPr>
              <w:t>（二）污染物产生量、排放量和对环境的影响程度都较小的排污单位，实行排污许可简化管理。</w:t>
            </w:r>
          </w:p>
          <w:p w14:paraId="6A4C8FD6">
            <w:pPr>
              <w:spacing w:before="20" w:after="20" w:line="300" w:lineRule="auto"/>
              <w:rPr>
                <w:rFonts w:ascii="Times New Roman" w:hAnsi="Times New Roman" w:eastAsia="宋体"/>
                <w:sz w:val="21"/>
              </w:rPr>
            </w:pPr>
            <w:r>
              <w:rPr>
                <w:rFonts w:hint="eastAsia" w:ascii="Times New Roman" w:hAnsi="Times New Roman" w:eastAsia="宋体"/>
                <w:sz w:val="21"/>
              </w:rPr>
              <w:t>第十四条 排污许可证有效期为5年。</w:t>
            </w:r>
          </w:p>
          <w:p w14:paraId="159ACAAB">
            <w:pPr>
              <w:spacing w:before="20" w:after="20" w:line="300" w:lineRule="auto"/>
              <w:rPr>
                <w:rFonts w:ascii="Times New Roman" w:hAnsi="Times New Roman" w:eastAsia="宋体"/>
                <w:sz w:val="21"/>
              </w:rPr>
            </w:pPr>
            <w:r>
              <w:rPr>
                <w:rFonts w:hint="eastAsia" w:ascii="Times New Roman" w:hAnsi="Times New Roman" w:eastAsia="宋体"/>
                <w:sz w:val="21"/>
              </w:rPr>
              <w:t>排污许可证有效期届满，排污单位需要继续排放污染物的，应当于排污许可证有效期届满60日前向审批部门提出申请。审批部门应当自受理申请之日起20日内完成审查；对符合条件的予以延续，对不符合条件的不予延续并书面说明理由。</w:t>
            </w:r>
          </w:p>
          <w:p w14:paraId="03A89774">
            <w:pPr>
              <w:spacing w:before="20" w:after="20" w:line="300" w:lineRule="auto"/>
              <w:rPr>
                <w:rFonts w:ascii="Times New Roman" w:hAnsi="Times New Roman" w:eastAsia="宋体"/>
                <w:sz w:val="21"/>
              </w:rPr>
            </w:pPr>
            <w:r>
              <w:rPr>
                <w:rFonts w:hint="eastAsia" w:ascii="Times New Roman" w:hAnsi="Times New Roman" w:eastAsia="宋体"/>
                <w:sz w:val="21"/>
              </w:rPr>
              <w:t>排污单位变更名称、住所、法定代表人或者主要负责人的，应当自变更之日起30日内，向审批部门申请办理排污许可证变更手续。</w:t>
            </w:r>
          </w:p>
          <w:p w14:paraId="7F621E23">
            <w:pPr>
              <w:spacing w:before="20" w:after="20" w:line="300" w:lineRule="auto"/>
              <w:rPr>
                <w:rFonts w:ascii="Times New Roman" w:hAnsi="Times New Roman" w:eastAsia="宋体"/>
                <w:b/>
                <w:bCs/>
                <w:sz w:val="21"/>
              </w:rPr>
            </w:pPr>
            <w:r>
              <w:rPr>
                <w:rFonts w:hint="eastAsia" w:ascii="Times New Roman" w:hAnsi="Times New Roman" w:eastAsia="宋体"/>
                <w:b/>
                <w:bCs/>
                <w:sz w:val="21"/>
              </w:rPr>
              <w:t>3.《云南省滇池保护条例》</w:t>
            </w:r>
            <w:r>
              <w:rPr>
                <w:rFonts w:ascii="Times New Roman" w:hAnsi="Times New Roman" w:eastAsia="宋体"/>
                <w:b/>
                <w:bCs/>
                <w:sz w:val="21"/>
              </w:rPr>
              <w:t>（2026修订版）</w:t>
            </w:r>
            <w:r>
              <w:rPr>
                <w:rFonts w:hint="eastAsia" w:ascii="Times New Roman" w:hAnsi="Times New Roman" w:eastAsia="宋体"/>
                <w:b/>
                <w:bCs/>
                <w:sz w:val="21"/>
              </w:rPr>
              <w:t>第三十七条第二款 依照法律规定实行排污许可管理的企业事业单位和其他生产经营者，应当依法申请取得排污许可证，未取得排污许可证的，不得排放污染物；需要填报排污登记表的，应当依法填报有关排污信息。</w:t>
            </w:r>
          </w:p>
          <w:p w14:paraId="20987B58">
            <w:pPr>
              <w:spacing w:before="20" w:after="20" w:line="300" w:lineRule="auto"/>
              <w:rPr>
                <w:rFonts w:ascii="Times New Roman" w:hAnsi="Times New Roman" w:eastAsia="宋体"/>
                <w:b/>
                <w:bCs/>
                <w:sz w:val="21"/>
              </w:rPr>
            </w:pPr>
            <w:r>
              <w:rPr>
                <w:rFonts w:hint="eastAsia" w:ascii="Times New Roman" w:hAnsi="Times New Roman" w:eastAsia="宋体"/>
                <w:b/>
                <w:bCs/>
                <w:sz w:val="21"/>
              </w:rPr>
              <w:t>4.《云南省阳宗海保护条例》</w:t>
            </w:r>
            <w:r>
              <w:rPr>
                <w:rFonts w:ascii="Times New Roman" w:hAnsi="Times New Roman" w:eastAsia="宋体"/>
                <w:b/>
                <w:bCs/>
                <w:sz w:val="21"/>
              </w:rPr>
              <w:t>（2026修订版）</w:t>
            </w:r>
            <w:r>
              <w:rPr>
                <w:rFonts w:hint="eastAsia" w:ascii="Times New Roman" w:hAnsi="Times New Roman" w:eastAsia="宋体"/>
                <w:b/>
                <w:bCs/>
                <w:sz w:val="21"/>
              </w:rPr>
              <w:t>第三十二条第二款 依照法律规定实行排污许可管理的企业事业单位和其他生产经营者应当依法申请取得排污许可证，未取得排污许可证的，不得排放污染物；需要填报排污登记表的，应当依法填报有关排污信息。</w:t>
            </w:r>
          </w:p>
          <w:p w14:paraId="63768E14">
            <w:pPr>
              <w:spacing w:before="20" w:after="20" w:line="300" w:lineRule="auto"/>
              <w:rPr>
                <w:rFonts w:ascii="Times New Roman" w:hAnsi="Times New Roman" w:eastAsia="宋体"/>
                <w:color w:val="FF0000"/>
                <w:sz w:val="21"/>
              </w:rPr>
            </w:pPr>
            <w:r>
              <w:rPr>
                <w:rFonts w:hint="eastAsia" w:ascii="Times New Roman" w:hAnsi="Times New Roman" w:eastAsia="宋体"/>
                <w:b/>
                <w:bCs/>
                <w:color w:val="000000"/>
                <w:sz w:val="21"/>
              </w:rPr>
              <w:t>5.《昆明市大气污染防治条例》</w:t>
            </w:r>
            <w:r>
              <w:rPr>
                <w:rFonts w:ascii="Times New Roman" w:hAnsi="Times New Roman" w:eastAsia="宋体"/>
                <w:b/>
                <w:bCs/>
                <w:color w:val="000000"/>
                <w:sz w:val="21"/>
              </w:rPr>
              <w:t>（2026修订版）</w:t>
            </w:r>
            <w:r>
              <w:rPr>
                <w:rFonts w:hint="eastAsia" w:ascii="Times New Roman" w:hAnsi="Times New Roman" w:eastAsia="宋体"/>
                <w:b/>
                <w:bCs/>
                <w:color w:val="000000"/>
                <w:sz w:val="21"/>
              </w:rPr>
              <w:t>第十一条 按照国家有关规定依法实行排污许可管理的单位，应当依法取得排污许可证，并按照排污许可证的规定排放大气污染物，禁止无排污许可证或者不按照排污许可证的规定排放大气污染物。</w:t>
            </w:r>
          </w:p>
        </w:tc>
      </w:tr>
      <w:bookmarkEnd w:id="15"/>
      <w:tr w14:paraId="052EE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jc w:val="center"/>
        </w:trPr>
        <w:tc>
          <w:tcPr>
            <w:tcW w:w="697" w:type="pct"/>
            <w:noWrap w:val="0"/>
            <w:tcMar>
              <w:top w:w="0" w:type="dxa"/>
              <w:left w:w="57" w:type="dxa"/>
              <w:bottom w:w="0" w:type="dxa"/>
              <w:right w:w="57" w:type="dxa"/>
            </w:tcMar>
            <w:vAlign w:val="center"/>
          </w:tcPr>
          <w:p w14:paraId="63FE5361">
            <w:pPr>
              <w:spacing w:before="20" w:after="20" w:line="300" w:lineRule="auto"/>
              <w:jc w:val="center"/>
              <w:rPr>
                <w:rFonts w:hint="eastAsia"/>
                <w:b/>
              </w:rPr>
            </w:pPr>
            <w:r>
              <w:rPr>
                <w:b/>
              </w:rPr>
              <w:t>处罚依据</w:t>
            </w:r>
          </w:p>
        </w:tc>
        <w:tc>
          <w:tcPr>
            <w:tcW w:w="4303" w:type="pct"/>
            <w:gridSpan w:val="2"/>
            <w:noWrap w:val="0"/>
            <w:tcMar>
              <w:top w:w="0" w:type="dxa"/>
              <w:left w:w="57" w:type="dxa"/>
              <w:bottom w:w="0" w:type="dxa"/>
              <w:right w:w="57" w:type="dxa"/>
            </w:tcMar>
            <w:vAlign w:val="center"/>
          </w:tcPr>
          <w:p w14:paraId="6DC68BC2">
            <w:pPr>
              <w:spacing w:before="20" w:after="20" w:line="300" w:lineRule="auto"/>
              <w:rPr>
                <w:rFonts w:ascii="Times New Roman" w:hAnsi="Times New Roman" w:eastAsia="宋体"/>
                <w:sz w:val="21"/>
              </w:rPr>
            </w:pPr>
            <w:r>
              <w:rPr>
                <w:rFonts w:hint="eastAsia" w:ascii="Times New Roman" w:hAnsi="Times New Roman" w:eastAsia="宋体"/>
                <w:sz w:val="21"/>
              </w:rPr>
              <w:t>1.</w:t>
            </w:r>
            <w:r>
              <w:rPr>
                <w:rFonts w:ascii="Times New Roman" w:hAnsi="Times New Roman" w:eastAsia="宋体"/>
                <w:sz w:val="21"/>
              </w:rPr>
              <w:t>《中华人民共和国生态环境法典》</w:t>
            </w:r>
            <w:r>
              <w:rPr>
                <w:rFonts w:hint="eastAsia" w:ascii="Times New Roman" w:hAnsi="Times New Roman" w:eastAsia="宋体"/>
                <w:sz w:val="21"/>
              </w:rPr>
              <w:t>第一千一百零二条 违反本法规定，未依法取得排污许可证排放污染物的，由生态环境主管部门责令改正，处二十万元以上一百万元以下的罚款，并可以责令限制生产、停产整治；情节严重的，报经有批准权的人民政府批准，责令停业、关闭。其中，污染物为工业噪声的，罚款数额为二万元以上二十万元以下。拒不停止排放污染物的，由生态环境主管部门将案件移送公安机关，由公安机关对其直接负责的主管人员和其他直接责任人员，处十日以上十五日以下拘留；情节较轻的，处五日以上十日以下拘留。</w:t>
            </w:r>
          </w:p>
          <w:p w14:paraId="343D8704">
            <w:pPr>
              <w:spacing w:before="20" w:after="20" w:line="300" w:lineRule="auto"/>
              <w:rPr>
                <w:rFonts w:ascii="Times New Roman" w:hAnsi="Times New Roman" w:eastAsia="宋体"/>
                <w:sz w:val="21"/>
              </w:rPr>
            </w:pPr>
            <w:r>
              <w:rPr>
                <w:rFonts w:hint="eastAsia" w:ascii="Times New Roman" w:hAnsi="Times New Roman" w:eastAsia="宋体"/>
                <w:sz w:val="21"/>
              </w:rPr>
              <w:t>2</w:t>
            </w:r>
            <w:r>
              <w:rPr>
                <w:rFonts w:ascii="Times New Roman" w:hAnsi="Times New Roman" w:eastAsia="宋体"/>
                <w:sz w:val="21"/>
              </w:rPr>
              <w:t>.</w:t>
            </w:r>
            <w:bookmarkStart w:id="16" w:name="OLE_LINK15"/>
            <w:r>
              <w:rPr>
                <w:rFonts w:hint="eastAsia" w:ascii="Times New Roman" w:hAnsi="Times New Roman" w:eastAsia="宋体"/>
                <w:sz w:val="21"/>
              </w:rPr>
              <w:t>《排污许可管理条例》</w:t>
            </w:r>
            <w:bookmarkEnd w:id="16"/>
            <w:r>
              <w:rPr>
                <w:rFonts w:ascii="Times New Roman" w:hAnsi="Times New Roman" w:eastAsia="宋体"/>
                <w:sz w:val="21"/>
              </w:rPr>
              <w:t>第三十三条 违反本条例规定，排污单位有下列行为之一的，由生态环境主管部门责令改正或者限制生产、停产整治，处20万元以上100万元以下的罚款；情节严重的，报经有批准权的人民政府批准，责令停业、关闭：</w:t>
            </w:r>
          </w:p>
          <w:p w14:paraId="128B3B5B">
            <w:pPr>
              <w:spacing w:before="20" w:after="20" w:line="300" w:lineRule="auto"/>
              <w:rPr>
                <w:rFonts w:ascii="Times New Roman" w:hAnsi="Times New Roman" w:eastAsia="宋体"/>
                <w:sz w:val="21"/>
              </w:rPr>
            </w:pPr>
            <w:r>
              <w:rPr>
                <w:rFonts w:ascii="Times New Roman" w:hAnsi="Times New Roman" w:eastAsia="宋体"/>
                <w:sz w:val="21"/>
              </w:rPr>
              <w:t>（一）未取得排污许可证排放污染物；</w:t>
            </w:r>
          </w:p>
          <w:p w14:paraId="3E072BEC">
            <w:pPr>
              <w:spacing w:before="20" w:after="20" w:line="300" w:lineRule="auto"/>
              <w:rPr>
                <w:rFonts w:ascii="Times New Roman" w:hAnsi="Times New Roman" w:eastAsia="宋体"/>
                <w:sz w:val="21"/>
              </w:rPr>
            </w:pPr>
            <w:r>
              <w:rPr>
                <w:rFonts w:ascii="Times New Roman" w:hAnsi="Times New Roman" w:eastAsia="宋体"/>
                <w:sz w:val="21"/>
              </w:rPr>
              <w:t>（二）排污许可证有效期届满未申请延续或者延续申请未经批准排放污染物；</w:t>
            </w:r>
          </w:p>
          <w:p w14:paraId="54F4276D">
            <w:pPr>
              <w:spacing w:before="20" w:after="20" w:line="300" w:lineRule="auto"/>
              <w:rPr>
                <w:rFonts w:ascii="Times New Roman" w:hAnsi="Times New Roman" w:eastAsia="宋体"/>
                <w:sz w:val="21"/>
              </w:rPr>
            </w:pPr>
            <w:r>
              <w:rPr>
                <w:rFonts w:ascii="Times New Roman" w:hAnsi="Times New Roman" w:eastAsia="宋体"/>
                <w:sz w:val="21"/>
              </w:rPr>
              <w:t>（三）被依法撤销、注销、吊销排污许可证后排放污染物；</w:t>
            </w:r>
          </w:p>
          <w:p w14:paraId="02075634">
            <w:pPr>
              <w:spacing w:before="20" w:after="20" w:line="300" w:lineRule="auto"/>
              <w:rPr>
                <w:rFonts w:ascii="Times New Roman" w:hAnsi="Times New Roman" w:eastAsia="宋体"/>
                <w:sz w:val="21"/>
              </w:rPr>
            </w:pPr>
            <w:r>
              <w:rPr>
                <w:rFonts w:ascii="Times New Roman" w:hAnsi="Times New Roman" w:eastAsia="宋体"/>
                <w:sz w:val="21"/>
              </w:rPr>
              <w:t>（四）依法应当重新申请取得排污许可证，未重新申请取得排污许可证排放污染物。</w:t>
            </w:r>
          </w:p>
          <w:p w14:paraId="57CC8068">
            <w:pPr>
              <w:spacing w:before="20" w:after="20" w:line="300" w:lineRule="auto"/>
              <w:rPr>
                <w:rFonts w:ascii="Times New Roman" w:hAnsi="Times New Roman" w:eastAsia="宋体"/>
                <w:b/>
                <w:bCs/>
                <w:color w:val="FF0000"/>
                <w:sz w:val="21"/>
              </w:rPr>
            </w:pPr>
          </w:p>
        </w:tc>
      </w:tr>
      <w:tr w14:paraId="5441A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7" w:hRule="atLeast"/>
          <w:jc w:val="center"/>
        </w:trPr>
        <w:tc>
          <w:tcPr>
            <w:tcW w:w="697" w:type="pct"/>
            <w:noWrap w:val="0"/>
            <w:tcMar>
              <w:top w:w="0" w:type="dxa"/>
              <w:left w:w="57" w:type="dxa"/>
              <w:bottom w:w="0" w:type="dxa"/>
              <w:right w:w="57" w:type="dxa"/>
            </w:tcMar>
            <w:vAlign w:val="center"/>
          </w:tcPr>
          <w:p w14:paraId="26F23A20">
            <w:pPr>
              <w:spacing w:before="20" w:after="20" w:line="300" w:lineRule="auto"/>
              <w:jc w:val="center"/>
              <w:rPr>
                <w:rFonts w:hint="eastAsia"/>
                <w:b/>
              </w:rPr>
            </w:pPr>
            <w:r>
              <w:rPr>
                <w:b/>
              </w:rPr>
              <w:t>裁量因素</w:t>
            </w:r>
          </w:p>
        </w:tc>
        <w:tc>
          <w:tcPr>
            <w:tcW w:w="3713" w:type="pct"/>
            <w:noWrap w:val="0"/>
            <w:tcMar>
              <w:top w:w="0" w:type="dxa"/>
              <w:left w:w="57" w:type="dxa"/>
              <w:bottom w:w="0" w:type="dxa"/>
              <w:right w:w="57" w:type="dxa"/>
            </w:tcMar>
            <w:vAlign w:val="center"/>
          </w:tcPr>
          <w:p w14:paraId="662E1127">
            <w:pPr>
              <w:spacing w:before="20" w:after="20" w:line="300" w:lineRule="auto"/>
              <w:jc w:val="center"/>
              <w:rPr>
                <w:rFonts w:hint="eastAsia"/>
                <w:b/>
              </w:rPr>
            </w:pPr>
            <w:r>
              <w:rPr>
                <w:b/>
              </w:rPr>
              <w:t>裁量因子</w:t>
            </w:r>
          </w:p>
        </w:tc>
        <w:tc>
          <w:tcPr>
            <w:tcW w:w="590" w:type="pct"/>
            <w:noWrap w:val="0"/>
            <w:tcMar>
              <w:top w:w="0" w:type="dxa"/>
              <w:left w:w="57" w:type="dxa"/>
              <w:bottom w:w="0" w:type="dxa"/>
              <w:right w:w="57" w:type="dxa"/>
            </w:tcMar>
            <w:vAlign w:val="center"/>
          </w:tcPr>
          <w:p w14:paraId="04F6124E">
            <w:pPr>
              <w:spacing w:before="20" w:after="20" w:line="300" w:lineRule="auto"/>
              <w:jc w:val="center"/>
              <w:rPr>
                <w:rFonts w:hint="eastAsia"/>
                <w:b/>
              </w:rPr>
            </w:pPr>
            <w:r>
              <w:rPr>
                <w:b/>
              </w:rPr>
              <w:t>裁量等级</w:t>
            </w:r>
          </w:p>
        </w:tc>
      </w:tr>
      <w:tr w14:paraId="1F548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vMerge w:val="restart"/>
            <w:noWrap w:val="0"/>
            <w:tcMar>
              <w:top w:w="0" w:type="dxa"/>
              <w:left w:w="57" w:type="dxa"/>
              <w:bottom w:w="0" w:type="dxa"/>
              <w:right w:w="57" w:type="dxa"/>
            </w:tcMar>
            <w:vAlign w:val="center"/>
          </w:tcPr>
          <w:p w14:paraId="2D48FD23">
            <w:pPr>
              <w:spacing w:before="20" w:after="20" w:line="300" w:lineRule="auto"/>
              <w:jc w:val="center"/>
              <w:rPr>
                <w:rFonts w:hint="eastAsia"/>
                <w:b/>
              </w:rPr>
            </w:pPr>
            <w:r>
              <w:rPr>
                <w:b/>
              </w:rPr>
              <w:t>排污</w:t>
            </w:r>
            <w:r>
              <w:rPr>
                <w:rFonts w:hint="eastAsia"/>
                <w:b/>
              </w:rPr>
              <w:t>许可</w:t>
            </w:r>
          </w:p>
          <w:p w14:paraId="7853A1F9">
            <w:pPr>
              <w:spacing w:before="20" w:after="20" w:line="300" w:lineRule="auto"/>
              <w:jc w:val="center"/>
              <w:rPr>
                <w:rFonts w:hint="eastAsia"/>
                <w:b/>
              </w:rPr>
            </w:pPr>
            <w:r>
              <w:rPr>
                <w:b/>
              </w:rPr>
              <w:t>管理类别</w:t>
            </w:r>
          </w:p>
        </w:tc>
        <w:tc>
          <w:tcPr>
            <w:tcW w:w="3713" w:type="pct"/>
            <w:noWrap w:val="0"/>
            <w:tcMar>
              <w:top w:w="0" w:type="dxa"/>
              <w:left w:w="57" w:type="dxa"/>
              <w:bottom w:w="0" w:type="dxa"/>
              <w:right w:w="57" w:type="dxa"/>
            </w:tcMar>
            <w:vAlign w:val="center"/>
          </w:tcPr>
          <w:p w14:paraId="0974BA79">
            <w:pPr>
              <w:spacing w:before="20" w:after="20" w:line="300" w:lineRule="auto"/>
              <w:rPr>
                <w:rFonts w:ascii="Times New Roman" w:hAnsi="Times New Roman" w:eastAsia="宋体"/>
                <w:sz w:val="21"/>
              </w:rPr>
            </w:pPr>
            <w:r>
              <w:rPr>
                <w:rFonts w:ascii="Times New Roman" w:hAnsi="Times New Roman" w:eastAsia="宋体"/>
                <w:sz w:val="21"/>
              </w:rPr>
              <w:t>简化管理</w:t>
            </w:r>
          </w:p>
        </w:tc>
        <w:tc>
          <w:tcPr>
            <w:tcW w:w="590" w:type="pct"/>
            <w:noWrap w:val="0"/>
            <w:tcMar>
              <w:top w:w="0" w:type="dxa"/>
              <w:left w:w="57" w:type="dxa"/>
              <w:bottom w:w="0" w:type="dxa"/>
              <w:right w:w="57" w:type="dxa"/>
            </w:tcMar>
            <w:vAlign w:val="center"/>
          </w:tcPr>
          <w:p w14:paraId="3720CC17">
            <w:pPr>
              <w:spacing w:before="20" w:after="20" w:line="300" w:lineRule="auto"/>
              <w:jc w:val="center"/>
              <w:rPr>
                <w:rFonts w:ascii="Times New Roman" w:hAnsi="Times New Roman" w:eastAsia="宋体"/>
                <w:sz w:val="21"/>
              </w:rPr>
            </w:pPr>
            <w:r>
              <w:rPr>
                <w:rFonts w:ascii="Times New Roman" w:hAnsi="Times New Roman" w:eastAsia="宋体"/>
                <w:sz w:val="21"/>
              </w:rPr>
              <w:t>3</w:t>
            </w:r>
          </w:p>
        </w:tc>
      </w:tr>
      <w:tr w14:paraId="0CA23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0" w:hRule="atLeast"/>
          <w:jc w:val="center"/>
        </w:trPr>
        <w:tc>
          <w:tcPr>
            <w:tcW w:w="697" w:type="pct"/>
            <w:vMerge w:val="continue"/>
            <w:noWrap w:val="0"/>
            <w:tcMar>
              <w:top w:w="0" w:type="dxa"/>
              <w:left w:w="57" w:type="dxa"/>
              <w:bottom w:w="0" w:type="dxa"/>
              <w:right w:w="57" w:type="dxa"/>
            </w:tcMar>
            <w:vAlign w:val="center"/>
          </w:tcPr>
          <w:p w14:paraId="435BD75A">
            <w:pPr>
              <w:topLinePunct/>
              <w:autoSpaceDE w:val="0"/>
              <w:autoSpaceDN w:val="0"/>
              <w:adjustRightInd w:val="0"/>
              <w:snapToGrid w:val="0"/>
              <w:spacing w:line="312" w:lineRule="exact"/>
              <w:jc w:val="center"/>
              <w:textAlignment w:val="baseline"/>
              <w:rPr>
                <w:rFonts w:ascii="Times New Roman" w:hAnsi="Times New Roman"/>
                <w:sz w:val="20"/>
                <w:szCs w:val="20"/>
              </w:rPr>
            </w:pPr>
          </w:p>
        </w:tc>
        <w:tc>
          <w:tcPr>
            <w:tcW w:w="3713" w:type="pct"/>
            <w:noWrap w:val="0"/>
            <w:tcMar>
              <w:top w:w="0" w:type="dxa"/>
              <w:left w:w="57" w:type="dxa"/>
              <w:bottom w:w="0" w:type="dxa"/>
              <w:right w:w="57" w:type="dxa"/>
            </w:tcMar>
            <w:vAlign w:val="center"/>
          </w:tcPr>
          <w:p w14:paraId="2D975B41">
            <w:pPr>
              <w:spacing w:before="20" w:after="20" w:line="300" w:lineRule="auto"/>
              <w:rPr>
                <w:rFonts w:ascii="Times New Roman" w:hAnsi="Times New Roman" w:eastAsia="宋体"/>
                <w:sz w:val="21"/>
              </w:rPr>
            </w:pPr>
            <w:r>
              <w:rPr>
                <w:rFonts w:ascii="Times New Roman" w:hAnsi="Times New Roman" w:eastAsia="宋体"/>
                <w:sz w:val="21"/>
              </w:rPr>
              <w:t>重点管理</w:t>
            </w:r>
          </w:p>
        </w:tc>
        <w:tc>
          <w:tcPr>
            <w:tcW w:w="590" w:type="pct"/>
            <w:noWrap w:val="0"/>
            <w:tcMar>
              <w:top w:w="0" w:type="dxa"/>
              <w:left w:w="57" w:type="dxa"/>
              <w:bottom w:w="0" w:type="dxa"/>
              <w:right w:w="57" w:type="dxa"/>
            </w:tcMar>
            <w:vAlign w:val="center"/>
          </w:tcPr>
          <w:p w14:paraId="612F2BBC">
            <w:pPr>
              <w:spacing w:before="20" w:after="20" w:line="300" w:lineRule="auto"/>
              <w:jc w:val="center"/>
              <w:rPr>
                <w:rFonts w:ascii="Times New Roman" w:hAnsi="Times New Roman" w:eastAsia="宋体"/>
                <w:sz w:val="21"/>
              </w:rPr>
            </w:pPr>
            <w:r>
              <w:rPr>
                <w:rFonts w:ascii="Times New Roman" w:hAnsi="Times New Roman" w:eastAsia="宋体"/>
                <w:sz w:val="21"/>
              </w:rPr>
              <w:t>5</w:t>
            </w:r>
          </w:p>
        </w:tc>
      </w:tr>
      <w:tr w14:paraId="52882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vMerge w:val="restart"/>
            <w:noWrap w:val="0"/>
            <w:tcMar>
              <w:top w:w="0" w:type="dxa"/>
              <w:left w:w="57" w:type="dxa"/>
              <w:bottom w:w="0" w:type="dxa"/>
              <w:right w:w="57" w:type="dxa"/>
            </w:tcMar>
            <w:vAlign w:val="center"/>
          </w:tcPr>
          <w:p w14:paraId="7B0E6635">
            <w:pPr>
              <w:spacing w:before="20" w:after="20" w:line="300" w:lineRule="auto"/>
              <w:jc w:val="center"/>
              <w:rPr>
                <w:rFonts w:hint="eastAsia"/>
                <w:b/>
              </w:rPr>
            </w:pPr>
            <w:r>
              <w:rPr>
                <w:b/>
              </w:rPr>
              <w:t>排放去向或</w:t>
            </w:r>
          </w:p>
          <w:p w14:paraId="65AC74F5">
            <w:pPr>
              <w:spacing w:before="20" w:after="20" w:line="300" w:lineRule="auto"/>
              <w:jc w:val="center"/>
              <w:rPr>
                <w:rFonts w:ascii="Times New Roman" w:hAnsi="Times New Roman"/>
                <w:sz w:val="20"/>
                <w:szCs w:val="20"/>
              </w:rPr>
            </w:pPr>
            <w:r>
              <w:rPr>
                <w:b/>
              </w:rPr>
              <w:t>区域</w:t>
            </w:r>
          </w:p>
        </w:tc>
        <w:tc>
          <w:tcPr>
            <w:tcW w:w="3713" w:type="pct"/>
            <w:noWrap w:val="0"/>
            <w:tcMar>
              <w:top w:w="0" w:type="dxa"/>
              <w:left w:w="57" w:type="dxa"/>
              <w:bottom w:w="0" w:type="dxa"/>
              <w:right w:w="57" w:type="dxa"/>
            </w:tcMar>
            <w:vAlign w:val="center"/>
          </w:tcPr>
          <w:p w14:paraId="19D926EF">
            <w:pPr>
              <w:spacing w:before="20" w:after="20" w:line="300" w:lineRule="auto"/>
              <w:rPr>
                <w:rFonts w:ascii="Times New Roman" w:hAnsi="Times New Roman" w:eastAsia="宋体"/>
                <w:sz w:val="21"/>
              </w:rPr>
            </w:pPr>
            <w:r>
              <w:rPr>
                <w:rFonts w:hint="eastAsia" w:ascii="Times New Roman" w:hAnsi="Times New Roman" w:eastAsia="宋体"/>
                <w:sz w:val="21"/>
              </w:rPr>
              <w:t>环境空气</w:t>
            </w:r>
            <w:r>
              <w:rPr>
                <w:rFonts w:ascii="Times New Roman" w:hAnsi="Times New Roman" w:eastAsia="宋体"/>
                <w:sz w:val="21"/>
              </w:rPr>
              <w:t>二类功能区（特定化工园区）/V类水体或污水集中处理设施</w:t>
            </w:r>
          </w:p>
        </w:tc>
        <w:tc>
          <w:tcPr>
            <w:tcW w:w="590" w:type="pct"/>
            <w:noWrap w:val="0"/>
            <w:tcMar>
              <w:top w:w="0" w:type="dxa"/>
              <w:left w:w="57" w:type="dxa"/>
              <w:bottom w:w="0" w:type="dxa"/>
              <w:right w:w="57" w:type="dxa"/>
            </w:tcMar>
            <w:vAlign w:val="center"/>
          </w:tcPr>
          <w:p w14:paraId="076A75A7">
            <w:pPr>
              <w:spacing w:before="20" w:after="20" w:line="300" w:lineRule="auto"/>
              <w:jc w:val="center"/>
              <w:rPr>
                <w:rFonts w:ascii="Times New Roman" w:hAnsi="Times New Roman" w:eastAsia="宋体"/>
                <w:sz w:val="21"/>
              </w:rPr>
            </w:pPr>
            <w:r>
              <w:rPr>
                <w:rFonts w:ascii="Times New Roman" w:hAnsi="Times New Roman" w:eastAsia="宋体"/>
                <w:sz w:val="21"/>
              </w:rPr>
              <w:t>1</w:t>
            </w:r>
          </w:p>
        </w:tc>
      </w:tr>
      <w:tr w14:paraId="64837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vMerge w:val="continue"/>
            <w:noWrap w:val="0"/>
            <w:tcMar>
              <w:top w:w="0" w:type="dxa"/>
              <w:left w:w="57" w:type="dxa"/>
              <w:bottom w:w="0" w:type="dxa"/>
              <w:right w:w="57" w:type="dxa"/>
            </w:tcMar>
            <w:vAlign w:val="center"/>
          </w:tcPr>
          <w:p w14:paraId="00806F22">
            <w:pPr>
              <w:topLinePunct/>
              <w:autoSpaceDE w:val="0"/>
              <w:autoSpaceDN w:val="0"/>
              <w:adjustRightInd w:val="0"/>
              <w:snapToGrid w:val="0"/>
              <w:spacing w:line="312" w:lineRule="exact"/>
              <w:jc w:val="center"/>
              <w:textAlignment w:val="baseline"/>
              <w:rPr>
                <w:rFonts w:ascii="Times New Roman" w:hAnsi="Times New Roman"/>
                <w:sz w:val="20"/>
                <w:szCs w:val="20"/>
              </w:rPr>
            </w:pPr>
          </w:p>
        </w:tc>
        <w:tc>
          <w:tcPr>
            <w:tcW w:w="3713" w:type="pct"/>
            <w:noWrap w:val="0"/>
            <w:tcMar>
              <w:top w:w="0" w:type="dxa"/>
              <w:left w:w="57" w:type="dxa"/>
              <w:bottom w:w="0" w:type="dxa"/>
              <w:right w:w="57" w:type="dxa"/>
            </w:tcMar>
            <w:vAlign w:val="center"/>
          </w:tcPr>
          <w:p w14:paraId="30B801B7">
            <w:pPr>
              <w:spacing w:before="20" w:after="20" w:line="300" w:lineRule="auto"/>
              <w:rPr>
                <w:rFonts w:ascii="Times New Roman" w:hAnsi="Times New Roman" w:eastAsia="宋体"/>
                <w:sz w:val="21"/>
              </w:rPr>
            </w:pPr>
            <w:r>
              <w:rPr>
                <w:rFonts w:hint="eastAsia" w:ascii="Times New Roman" w:hAnsi="Times New Roman" w:eastAsia="宋体"/>
                <w:sz w:val="21"/>
              </w:rPr>
              <w:t>环境空气</w:t>
            </w:r>
            <w:r>
              <w:rPr>
                <w:rFonts w:ascii="Times New Roman" w:hAnsi="Times New Roman" w:eastAsia="宋体"/>
                <w:sz w:val="21"/>
              </w:rPr>
              <w:t>二类功能区（工业区）/Ⅳ类水体</w:t>
            </w:r>
          </w:p>
        </w:tc>
        <w:tc>
          <w:tcPr>
            <w:tcW w:w="590" w:type="pct"/>
            <w:noWrap w:val="0"/>
            <w:tcMar>
              <w:top w:w="0" w:type="dxa"/>
              <w:left w:w="57" w:type="dxa"/>
              <w:bottom w:w="0" w:type="dxa"/>
              <w:right w:w="57" w:type="dxa"/>
            </w:tcMar>
            <w:vAlign w:val="center"/>
          </w:tcPr>
          <w:p w14:paraId="3CD44914">
            <w:pPr>
              <w:spacing w:before="20" w:after="20" w:line="300" w:lineRule="auto"/>
              <w:jc w:val="center"/>
              <w:rPr>
                <w:rFonts w:ascii="Times New Roman" w:hAnsi="Times New Roman" w:eastAsia="宋体"/>
                <w:sz w:val="21"/>
              </w:rPr>
            </w:pPr>
            <w:r>
              <w:rPr>
                <w:rFonts w:ascii="Times New Roman" w:hAnsi="Times New Roman" w:eastAsia="宋体"/>
                <w:sz w:val="21"/>
              </w:rPr>
              <w:t>2</w:t>
            </w:r>
          </w:p>
        </w:tc>
      </w:tr>
      <w:tr w14:paraId="76827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97" w:type="pct"/>
            <w:vMerge w:val="continue"/>
            <w:noWrap w:val="0"/>
            <w:tcMar>
              <w:top w:w="0" w:type="dxa"/>
              <w:left w:w="57" w:type="dxa"/>
              <w:bottom w:w="0" w:type="dxa"/>
              <w:right w:w="57" w:type="dxa"/>
            </w:tcMar>
            <w:vAlign w:val="center"/>
          </w:tcPr>
          <w:p w14:paraId="70352B3C">
            <w:pPr>
              <w:topLinePunct/>
              <w:autoSpaceDE w:val="0"/>
              <w:autoSpaceDN w:val="0"/>
              <w:adjustRightInd w:val="0"/>
              <w:snapToGrid w:val="0"/>
              <w:spacing w:line="312" w:lineRule="exact"/>
              <w:jc w:val="center"/>
              <w:textAlignment w:val="baseline"/>
              <w:rPr>
                <w:rFonts w:ascii="Times New Roman" w:hAnsi="Times New Roman"/>
                <w:sz w:val="20"/>
                <w:szCs w:val="20"/>
              </w:rPr>
            </w:pPr>
          </w:p>
        </w:tc>
        <w:tc>
          <w:tcPr>
            <w:tcW w:w="3713" w:type="pct"/>
            <w:noWrap w:val="0"/>
            <w:tcMar>
              <w:top w:w="0" w:type="dxa"/>
              <w:left w:w="57" w:type="dxa"/>
              <w:bottom w:w="0" w:type="dxa"/>
              <w:right w:w="57" w:type="dxa"/>
            </w:tcMar>
            <w:vAlign w:val="center"/>
          </w:tcPr>
          <w:p w14:paraId="134587E9">
            <w:pPr>
              <w:spacing w:before="20" w:after="20" w:line="300" w:lineRule="auto"/>
              <w:rPr>
                <w:rFonts w:ascii="Times New Roman" w:hAnsi="Times New Roman" w:eastAsia="宋体"/>
                <w:sz w:val="21"/>
              </w:rPr>
            </w:pPr>
            <w:r>
              <w:rPr>
                <w:rFonts w:hint="eastAsia" w:ascii="Times New Roman" w:hAnsi="Times New Roman" w:eastAsia="宋体"/>
                <w:sz w:val="21"/>
              </w:rPr>
              <w:t>环境空气</w:t>
            </w:r>
            <w:r>
              <w:rPr>
                <w:rFonts w:ascii="Times New Roman" w:hAnsi="Times New Roman" w:eastAsia="宋体"/>
                <w:sz w:val="21"/>
              </w:rPr>
              <w:t>二类功能区（非工业区）/Ⅲ类水体</w:t>
            </w:r>
          </w:p>
        </w:tc>
        <w:tc>
          <w:tcPr>
            <w:tcW w:w="590" w:type="pct"/>
            <w:noWrap w:val="0"/>
            <w:tcMar>
              <w:top w:w="0" w:type="dxa"/>
              <w:left w:w="57" w:type="dxa"/>
              <w:bottom w:w="0" w:type="dxa"/>
              <w:right w:w="57" w:type="dxa"/>
            </w:tcMar>
            <w:vAlign w:val="center"/>
          </w:tcPr>
          <w:p w14:paraId="19331AD4">
            <w:pPr>
              <w:spacing w:before="20" w:after="20" w:line="300" w:lineRule="auto"/>
              <w:jc w:val="center"/>
              <w:rPr>
                <w:rFonts w:ascii="Times New Roman" w:hAnsi="Times New Roman" w:eastAsia="宋体"/>
                <w:sz w:val="21"/>
              </w:rPr>
            </w:pPr>
            <w:r>
              <w:rPr>
                <w:rFonts w:ascii="Times New Roman" w:hAnsi="Times New Roman" w:eastAsia="宋体"/>
                <w:sz w:val="21"/>
              </w:rPr>
              <w:t>3</w:t>
            </w:r>
          </w:p>
        </w:tc>
      </w:tr>
      <w:tr w14:paraId="42BD7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vMerge w:val="continue"/>
            <w:noWrap w:val="0"/>
            <w:tcMar>
              <w:top w:w="0" w:type="dxa"/>
              <w:left w:w="57" w:type="dxa"/>
              <w:bottom w:w="0" w:type="dxa"/>
              <w:right w:w="57" w:type="dxa"/>
            </w:tcMar>
            <w:vAlign w:val="center"/>
          </w:tcPr>
          <w:p w14:paraId="0AA326B8">
            <w:pPr>
              <w:topLinePunct/>
              <w:autoSpaceDE w:val="0"/>
              <w:autoSpaceDN w:val="0"/>
              <w:adjustRightInd w:val="0"/>
              <w:snapToGrid w:val="0"/>
              <w:spacing w:line="312" w:lineRule="exact"/>
              <w:jc w:val="center"/>
              <w:textAlignment w:val="baseline"/>
              <w:rPr>
                <w:rFonts w:ascii="Times New Roman" w:hAnsi="Times New Roman"/>
                <w:sz w:val="20"/>
                <w:szCs w:val="20"/>
              </w:rPr>
            </w:pPr>
          </w:p>
        </w:tc>
        <w:tc>
          <w:tcPr>
            <w:tcW w:w="3713" w:type="pct"/>
            <w:noWrap w:val="0"/>
            <w:tcMar>
              <w:top w:w="0" w:type="dxa"/>
              <w:left w:w="57" w:type="dxa"/>
              <w:bottom w:w="0" w:type="dxa"/>
              <w:right w:w="57" w:type="dxa"/>
            </w:tcMar>
            <w:vAlign w:val="center"/>
          </w:tcPr>
          <w:p w14:paraId="496B4BA1">
            <w:pPr>
              <w:spacing w:before="20" w:after="20" w:line="300" w:lineRule="auto"/>
              <w:rPr>
                <w:rFonts w:ascii="Times New Roman" w:hAnsi="Times New Roman" w:eastAsia="宋体"/>
                <w:sz w:val="21"/>
              </w:rPr>
            </w:pPr>
            <w:r>
              <w:rPr>
                <w:rFonts w:hint="eastAsia" w:ascii="Times New Roman" w:hAnsi="Times New Roman" w:eastAsia="宋体"/>
                <w:sz w:val="21"/>
              </w:rPr>
              <w:t>环境空气</w:t>
            </w:r>
            <w:r>
              <w:rPr>
                <w:rFonts w:ascii="Times New Roman" w:hAnsi="Times New Roman" w:eastAsia="宋体"/>
                <w:sz w:val="21"/>
              </w:rPr>
              <w:t>二类功能区（居住区）/I、Ⅱ类水体</w:t>
            </w:r>
          </w:p>
        </w:tc>
        <w:tc>
          <w:tcPr>
            <w:tcW w:w="590" w:type="pct"/>
            <w:noWrap w:val="0"/>
            <w:tcMar>
              <w:top w:w="0" w:type="dxa"/>
              <w:left w:w="57" w:type="dxa"/>
              <w:bottom w:w="0" w:type="dxa"/>
              <w:right w:w="57" w:type="dxa"/>
            </w:tcMar>
            <w:vAlign w:val="center"/>
          </w:tcPr>
          <w:p w14:paraId="74FEEFE4">
            <w:pPr>
              <w:spacing w:before="20" w:after="20" w:line="300" w:lineRule="auto"/>
              <w:jc w:val="center"/>
              <w:rPr>
                <w:rFonts w:ascii="Times New Roman" w:hAnsi="Times New Roman" w:eastAsia="宋体"/>
                <w:sz w:val="21"/>
              </w:rPr>
            </w:pPr>
            <w:r>
              <w:rPr>
                <w:rFonts w:ascii="Times New Roman" w:hAnsi="Times New Roman" w:eastAsia="宋体"/>
                <w:sz w:val="21"/>
              </w:rPr>
              <w:t>4</w:t>
            </w:r>
          </w:p>
        </w:tc>
      </w:tr>
      <w:tr w14:paraId="22A11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vMerge w:val="continue"/>
            <w:noWrap w:val="0"/>
            <w:tcMar>
              <w:top w:w="0" w:type="dxa"/>
              <w:left w:w="57" w:type="dxa"/>
              <w:bottom w:w="0" w:type="dxa"/>
              <w:right w:w="57" w:type="dxa"/>
            </w:tcMar>
            <w:vAlign w:val="center"/>
          </w:tcPr>
          <w:p w14:paraId="05E112E4">
            <w:pPr>
              <w:topLinePunct/>
              <w:autoSpaceDE w:val="0"/>
              <w:autoSpaceDN w:val="0"/>
              <w:adjustRightInd w:val="0"/>
              <w:snapToGrid w:val="0"/>
              <w:spacing w:line="312" w:lineRule="exact"/>
              <w:jc w:val="center"/>
              <w:textAlignment w:val="baseline"/>
              <w:rPr>
                <w:rFonts w:ascii="Times New Roman" w:hAnsi="Times New Roman"/>
                <w:sz w:val="20"/>
                <w:szCs w:val="20"/>
              </w:rPr>
            </w:pPr>
          </w:p>
        </w:tc>
        <w:tc>
          <w:tcPr>
            <w:tcW w:w="3713" w:type="pct"/>
            <w:noWrap w:val="0"/>
            <w:tcMar>
              <w:top w:w="0" w:type="dxa"/>
              <w:left w:w="57" w:type="dxa"/>
              <w:bottom w:w="0" w:type="dxa"/>
              <w:right w:w="57" w:type="dxa"/>
            </w:tcMar>
            <w:vAlign w:val="center"/>
          </w:tcPr>
          <w:p w14:paraId="4F5FB5C1">
            <w:pPr>
              <w:spacing w:before="20" w:after="20" w:line="300" w:lineRule="auto"/>
              <w:rPr>
                <w:rFonts w:ascii="Times New Roman" w:hAnsi="Times New Roman" w:eastAsia="宋体"/>
                <w:sz w:val="21"/>
              </w:rPr>
            </w:pPr>
            <w:r>
              <w:rPr>
                <w:rFonts w:hint="eastAsia" w:ascii="Times New Roman" w:hAnsi="Times New Roman" w:eastAsia="宋体"/>
                <w:sz w:val="21"/>
              </w:rPr>
              <w:t>环境空气</w:t>
            </w:r>
            <w:r>
              <w:rPr>
                <w:rFonts w:ascii="Times New Roman" w:hAnsi="Times New Roman" w:eastAsia="宋体"/>
                <w:sz w:val="21"/>
              </w:rPr>
              <w:t>一类功能区/饮用水水源地</w:t>
            </w:r>
          </w:p>
        </w:tc>
        <w:tc>
          <w:tcPr>
            <w:tcW w:w="590" w:type="pct"/>
            <w:noWrap w:val="0"/>
            <w:tcMar>
              <w:top w:w="0" w:type="dxa"/>
              <w:left w:w="57" w:type="dxa"/>
              <w:bottom w:w="0" w:type="dxa"/>
              <w:right w:w="57" w:type="dxa"/>
            </w:tcMar>
            <w:vAlign w:val="center"/>
          </w:tcPr>
          <w:p w14:paraId="52AB87B6">
            <w:pPr>
              <w:spacing w:before="20" w:after="20" w:line="300" w:lineRule="auto"/>
              <w:jc w:val="center"/>
              <w:rPr>
                <w:rFonts w:ascii="Times New Roman" w:hAnsi="Times New Roman" w:eastAsia="宋体"/>
                <w:sz w:val="21"/>
              </w:rPr>
            </w:pPr>
            <w:r>
              <w:rPr>
                <w:rFonts w:ascii="Times New Roman" w:hAnsi="Times New Roman" w:eastAsia="宋体"/>
                <w:sz w:val="21"/>
              </w:rPr>
              <w:t>5</w:t>
            </w:r>
          </w:p>
        </w:tc>
      </w:tr>
      <w:tr w14:paraId="39B9F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vMerge w:val="restart"/>
            <w:noWrap w:val="0"/>
            <w:tcMar>
              <w:top w:w="0" w:type="dxa"/>
              <w:left w:w="57" w:type="dxa"/>
              <w:bottom w:w="0" w:type="dxa"/>
              <w:right w:w="57" w:type="dxa"/>
            </w:tcMar>
            <w:vAlign w:val="center"/>
          </w:tcPr>
          <w:p w14:paraId="3DACBE12">
            <w:pPr>
              <w:spacing w:before="20" w:after="20" w:line="300" w:lineRule="auto"/>
              <w:jc w:val="center"/>
              <w:rPr>
                <w:rFonts w:hint="eastAsia"/>
                <w:b/>
              </w:rPr>
            </w:pPr>
            <w:r>
              <w:rPr>
                <w:b/>
              </w:rPr>
              <w:t>违法行为</w:t>
            </w:r>
          </w:p>
          <w:p w14:paraId="68B80CE4">
            <w:pPr>
              <w:spacing w:before="20" w:after="20" w:line="300" w:lineRule="auto"/>
              <w:jc w:val="center"/>
              <w:rPr>
                <w:rFonts w:hint="eastAsia"/>
                <w:b/>
              </w:rPr>
            </w:pPr>
            <w:r>
              <w:rPr>
                <w:b/>
              </w:rPr>
              <w:t>持续时间</w:t>
            </w:r>
          </w:p>
        </w:tc>
        <w:tc>
          <w:tcPr>
            <w:tcW w:w="3713" w:type="pct"/>
            <w:noWrap w:val="0"/>
            <w:tcMar>
              <w:top w:w="0" w:type="dxa"/>
              <w:left w:w="57" w:type="dxa"/>
              <w:bottom w:w="0" w:type="dxa"/>
              <w:right w:w="57" w:type="dxa"/>
            </w:tcMar>
            <w:vAlign w:val="center"/>
          </w:tcPr>
          <w:p w14:paraId="3410EB78">
            <w:pPr>
              <w:spacing w:before="20" w:after="20" w:line="300" w:lineRule="auto"/>
              <w:rPr>
                <w:rFonts w:ascii="Times New Roman" w:hAnsi="Times New Roman" w:eastAsia="宋体"/>
                <w:sz w:val="21"/>
              </w:rPr>
            </w:pPr>
            <w:r>
              <w:rPr>
                <w:rFonts w:hint="eastAsia" w:ascii="Times New Roman" w:hAnsi="Times New Roman" w:eastAsia="宋体"/>
                <w:sz w:val="21"/>
              </w:rPr>
              <w:t>不足1个月</w:t>
            </w:r>
          </w:p>
        </w:tc>
        <w:tc>
          <w:tcPr>
            <w:tcW w:w="590" w:type="pct"/>
            <w:noWrap w:val="0"/>
            <w:tcMar>
              <w:top w:w="0" w:type="dxa"/>
              <w:left w:w="57" w:type="dxa"/>
              <w:bottom w:w="0" w:type="dxa"/>
              <w:right w:w="57" w:type="dxa"/>
            </w:tcMar>
            <w:vAlign w:val="center"/>
          </w:tcPr>
          <w:p w14:paraId="27536253">
            <w:pPr>
              <w:spacing w:before="20" w:after="20" w:line="300" w:lineRule="auto"/>
              <w:jc w:val="center"/>
              <w:rPr>
                <w:rFonts w:ascii="Times New Roman" w:hAnsi="Times New Roman" w:eastAsia="宋体"/>
                <w:sz w:val="21"/>
              </w:rPr>
            </w:pPr>
            <w:r>
              <w:rPr>
                <w:rFonts w:hint="eastAsia" w:ascii="Times New Roman" w:hAnsi="Times New Roman" w:eastAsia="宋体"/>
                <w:sz w:val="21"/>
              </w:rPr>
              <w:t>1</w:t>
            </w:r>
          </w:p>
        </w:tc>
      </w:tr>
      <w:tr w14:paraId="5E83F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vMerge w:val="continue"/>
            <w:noWrap w:val="0"/>
            <w:tcMar>
              <w:top w:w="0" w:type="dxa"/>
              <w:left w:w="57" w:type="dxa"/>
              <w:bottom w:w="0" w:type="dxa"/>
              <w:right w:w="57" w:type="dxa"/>
            </w:tcMar>
            <w:vAlign w:val="center"/>
          </w:tcPr>
          <w:p w14:paraId="73565704">
            <w:pPr>
              <w:autoSpaceDE w:val="0"/>
              <w:autoSpaceDN w:val="0"/>
              <w:adjustRightInd w:val="0"/>
              <w:snapToGrid w:val="0"/>
              <w:spacing w:line="300" w:lineRule="exact"/>
              <w:jc w:val="center"/>
              <w:textAlignment w:val="baseline"/>
              <w:rPr>
                <w:rFonts w:ascii="Times New Roman" w:hAnsi="Times New Roman"/>
                <w:sz w:val="20"/>
                <w:szCs w:val="20"/>
              </w:rPr>
            </w:pPr>
          </w:p>
        </w:tc>
        <w:tc>
          <w:tcPr>
            <w:tcW w:w="3713" w:type="pct"/>
            <w:noWrap w:val="0"/>
            <w:tcMar>
              <w:top w:w="0" w:type="dxa"/>
              <w:left w:w="57" w:type="dxa"/>
              <w:bottom w:w="0" w:type="dxa"/>
              <w:right w:w="57" w:type="dxa"/>
            </w:tcMar>
            <w:vAlign w:val="center"/>
          </w:tcPr>
          <w:p w14:paraId="4FF92015">
            <w:pPr>
              <w:spacing w:before="20" w:after="20" w:line="300" w:lineRule="auto"/>
              <w:rPr>
                <w:rFonts w:ascii="Times New Roman" w:hAnsi="Times New Roman" w:eastAsia="宋体"/>
                <w:sz w:val="21"/>
              </w:rPr>
            </w:pPr>
            <w:r>
              <w:rPr>
                <w:rFonts w:hint="eastAsia" w:ascii="Times New Roman" w:hAnsi="Times New Roman" w:eastAsia="宋体"/>
                <w:sz w:val="21"/>
              </w:rPr>
              <w:t>1个月以上不足</w:t>
            </w:r>
            <w:r>
              <w:rPr>
                <w:rFonts w:ascii="Times New Roman" w:hAnsi="Times New Roman" w:eastAsia="宋体"/>
                <w:sz w:val="21"/>
              </w:rPr>
              <w:t>3个月</w:t>
            </w:r>
          </w:p>
        </w:tc>
        <w:tc>
          <w:tcPr>
            <w:tcW w:w="590" w:type="pct"/>
            <w:noWrap w:val="0"/>
            <w:tcMar>
              <w:top w:w="0" w:type="dxa"/>
              <w:left w:w="57" w:type="dxa"/>
              <w:bottom w:w="0" w:type="dxa"/>
              <w:right w:w="57" w:type="dxa"/>
            </w:tcMar>
            <w:vAlign w:val="center"/>
          </w:tcPr>
          <w:p w14:paraId="3CDE6889">
            <w:pPr>
              <w:spacing w:before="20" w:after="20" w:line="300" w:lineRule="auto"/>
              <w:jc w:val="center"/>
              <w:rPr>
                <w:rFonts w:ascii="Times New Roman" w:hAnsi="Times New Roman" w:eastAsia="宋体"/>
                <w:sz w:val="21"/>
              </w:rPr>
            </w:pPr>
            <w:r>
              <w:rPr>
                <w:rFonts w:hint="eastAsia" w:ascii="Times New Roman" w:hAnsi="Times New Roman" w:eastAsia="宋体"/>
                <w:sz w:val="21"/>
              </w:rPr>
              <w:t>2</w:t>
            </w:r>
          </w:p>
        </w:tc>
      </w:tr>
      <w:tr w14:paraId="78FD9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vMerge w:val="continue"/>
            <w:noWrap w:val="0"/>
            <w:tcMar>
              <w:top w:w="0" w:type="dxa"/>
              <w:left w:w="57" w:type="dxa"/>
              <w:bottom w:w="0" w:type="dxa"/>
              <w:right w:w="57" w:type="dxa"/>
            </w:tcMar>
            <w:vAlign w:val="center"/>
          </w:tcPr>
          <w:p w14:paraId="79B097F1">
            <w:pPr>
              <w:autoSpaceDE w:val="0"/>
              <w:autoSpaceDN w:val="0"/>
              <w:adjustRightInd w:val="0"/>
              <w:snapToGrid w:val="0"/>
              <w:spacing w:line="300" w:lineRule="exact"/>
              <w:jc w:val="center"/>
              <w:textAlignment w:val="baseline"/>
              <w:rPr>
                <w:rFonts w:ascii="Times New Roman" w:hAnsi="Times New Roman"/>
                <w:sz w:val="20"/>
                <w:szCs w:val="20"/>
              </w:rPr>
            </w:pPr>
          </w:p>
        </w:tc>
        <w:tc>
          <w:tcPr>
            <w:tcW w:w="3713" w:type="pct"/>
            <w:noWrap w:val="0"/>
            <w:tcMar>
              <w:top w:w="0" w:type="dxa"/>
              <w:left w:w="57" w:type="dxa"/>
              <w:bottom w:w="0" w:type="dxa"/>
              <w:right w:w="57" w:type="dxa"/>
            </w:tcMar>
            <w:vAlign w:val="center"/>
          </w:tcPr>
          <w:p w14:paraId="61A6E5AD">
            <w:pPr>
              <w:spacing w:before="20" w:after="20" w:line="300" w:lineRule="auto"/>
              <w:rPr>
                <w:rFonts w:ascii="Times New Roman" w:hAnsi="Times New Roman" w:eastAsia="宋体"/>
                <w:sz w:val="21"/>
              </w:rPr>
            </w:pPr>
            <w:r>
              <w:rPr>
                <w:rFonts w:ascii="Times New Roman" w:hAnsi="Times New Roman" w:eastAsia="宋体"/>
                <w:sz w:val="21"/>
              </w:rPr>
              <w:t>3个月以上</w:t>
            </w:r>
            <w:r>
              <w:rPr>
                <w:rFonts w:hint="eastAsia" w:ascii="Times New Roman" w:hAnsi="Times New Roman" w:eastAsia="宋体"/>
                <w:sz w:val="21"/>
              </w:rPr>
              <w:t>不足</w:t>
            </w:r>
            <w:r>
              <w:rPr>
                <w:rFonts w:ascii="Times New Roman" w:hAnsi="Times New Roman" w:eastAsia="宋体"/>
                <w:sz w:val="21"/>
              </w:rPr>
              <w:t>6个月</w:t>
            </w:r>
          </w:p>
        </w:tc>
        <w:tc>
          <w:tcPr>
            <w:tcW w:w="590" w:type="pct"/>
            <w:noWrap w:val="0"/>
            <w:tcMar>
              <w:top w:w="0" w:type="dxa"/>
              <w:left w:w="57" w:type="dxa"/>
              <w:bottom w:w="0" w:type="dxa"/>
              <w:right w:w="57" w:type="dxa"/>
            </w:tcMar>
            <w:vAlign w:val="center"/>
          </w:tcPr>
          <w:p w14:paraId="06A7E5F0">
            <w:pPr>
              <w:spacing w:before="20" w:after="20" w:line="300" w:lineRule="auto"/>
              <w:jc w:val="center"/>
              <w:rPr>
                <w:rFonts w:ascii="Times New Roman" w:hAnsi="Times New Roman" w:eastAsia="宋体"/>
                <w:sz w:val="21"/>
              </w:rPr>
            </w:pPr>
            <w:r>
              <w:rPr>
                <w:rFonts w:hint="eastAsia" w:ascii="Times New Roman" w:hAnsi="Times New Roman" w:eastAsia="宋体"/>
                <w:sz w:val="21"/>
              </w:rPr>
              <w:t>3</w:t>
            </w:r>
          </w:p>
        </w:tc>
      </w:tr>
      <w:tr w14:paraId="4D6F4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vMerge w:val="continue"/>
            <w:noWrap w:val="0"/>
            <w:tcMar>
              <w:top w:w="0" w:type="dxa"/>
              <w:left w:w="57" w:type="dxa"/>
              <w:bottom w:w="0" w:type="dxa"/>
              <w:right w:w="57" w:type="dxa"/>
            </w:tcMar>
            <w:vAlign w:val="center"/>
          </w:tcPr>
          <w:p w14:paraId="289BDBFE">
            <w:pPr>
              <w:autoSpaceDE w:val="0"/>
              <w:autoSpaceDN w:val="0"/>
              <w:adjustRightInd w:val="0"/>
              <w:snapToGrid w:val="0"/>
              <w:spacing w:line="300" w:lineRule="exact"/>
              <w:jc w:val="center"/>
              <w:textAlignment w:val="baseline"/>
              <w:rPr>
                <w:rFonts w:ascii="Times New Roman" w:hAnsi="Times New Roman"/>
                <w:sz w:val="20"/>
                <w:szCs w:val="20"/>
              </w:rPr>
            </w:pPr>
          </w:p>
        </w:tc>
        <w:tc>
          <w:tcPr>
            <w:tcW w:w="3713" w:type="pct"/>
            <w:noWrap w:val="0"/>
            <w:tcMar>
              <w:top w:w="0" w:type="dxa"/>
              <w:left w:w="57" w:type="dxa"/>
              <w:bottom w:w="0" w:type="dxa"/>
              <w:right w:w="57" w:type="dxa"/>
            </w:tcMar>
            <w:vAlign w:val="center"/>
          </w:tcPr>
          <w:p w14:paraId="5D77E52B">
            <w:pPr>
              <w:spacing w:before="20" w:after="20" w:line="300" w:lineRule="auto"/>
              <w:rPr>
                <w:rFonts w:ascii="Times New Roman" w:hAnsi="Times New Roman" w:eastAsia="宋体"/>
                <w:sz w:val="21"/>
              </w:rPr>
            </w:pPr>
            <w:r>
              <w:rPr>
                <w:rFonts w:ascii="Times New Roman" w:hAnsi="Times New Roman" w:eastAsia="宋体"/>
                <w:sz w:val="21"/>
              </w:rPr>
              <w:t>6个月以上</w:t>
            </w:r>
            <w:r>
              <w:rPr>
                <w:rFonts w:hint="eastAsia" w:ascii="Times New Roman" w:hAnsi="Times New Roman" w:eastAsia="宋体"/>
                <w:sz w:val="21"/>
              </w:rPr>
              <w:t>不足</w:t>
            </w:r>
            <w:r>
              <w:rPr>
                <w:rFonts w:ascii="Times New Roman" w:hAnsi="Times New Roman" w:eastAsia="宋体"/>
                <w:sz w:val="21"/>
              </w:rPr>
              <w:t>1年</w:t>
            </w:r>
          </w:p>
        </w:tc>
        <w:tc>
          <w:tcPr>
            <w:tcW w:w="590" w:type="pct"/>
            <w:noWrap w:val="0"/>
            <w:tcMar>
              <w:top w:w="0" w:type="dxa"/>
              <w:left w:w="57" w:type="dxa"/>
              <w:bottom w:w="0" w:type="dxa"/>
              <w:right w:w="57" w:type="dxa"/>
            </w:tcMar>
            <w:vAlign w:val="center"/>
          </w:tcPr>
          <w:p w14:paraId="47ADBFD1">
            <w:pPr>
              <w:spacing w:before="20" w:after="20" w:line="300" w:lineRule="auto"/>
              <w:jc w:val="center"/>
              <w:rPr>
                <w:rFonts w:ascii="Times New Roman" w:hAnsi="Times New Roman" w:eastAsia="宋体"/>
                <w:sz w:val="21"/>
              </w:rPr>
            </w:pPr>
            <w:r>
              <w:rPr>
                <w:rFonts w:hint="eastAsia" w:ascii="Times New Roman" w:hAnsi="Times New Roman" w:eastAsia="宋体"/>
                <w:sz w:val="21"/>
              </w:rPr>
              <w:t>4</w:t>
            </w:r>
          </w:p>
        </w:tc>
      </w:tr>
      <w:tr w14:paraId="491F46FE">
        <w:tblPrEx>
          <w:tblCellMar>
            <w:top w:w="0" w:type="dxa"/>
            <w:left w:w="0" w:type="dxa"/>
            <w:bottom w:w="0" w:type="dxa"/>
            <w:right w:w="0" w:type="dxa"/>
          </w:tblCellMar>
        </w:tblPrEx>
        <w:trPr>
          <w:trHeight w:val="20" w:hRule="atLeast"/>
          <w:jc w:val="center"/>
        </w:trPr>
        <w:tc>
          <w:tcPr>
            <w:tcW w:w="697" w:type="pct"/>
            <w:vMerge w:val="continue"/>
            <w:noWrap w:val="0"/>
            <w:tcMar>
              <w:top w:w="0" w:type="dxa"/>
              <w:left w:w="57" w:type="dxa"/>
              <w:bottom w:w="0" w:type="dxa"/>
              <w:right w:w="57" w:type="dxa"/>
            </w:tcMar>
            <w:vAlign w:val="center"/>
          </w:tcPr>
          <w:p w14:paraId="5FDE649F">
            <w:pPr>
              <w:autoSpaceDE w:val="0"/>
              <w:autoSpaceDN w:val="0"/>
              <w:adjustRightInd w:val="0"/>
              <w:snapToGrid w:val="0"/>
              <w:spacing w:line="300" w:lineRule="exact"/>
              <w:jc w:val="center"/>
              <w:textAlignment w:val="baseline"/>
              <w:rPr>
                <w:rFonts w:ascii="Times New Roman" w:hAnsi="Times New Roman"/>
                <w:sz w:val="20"/>
                <w:szCs w:val="20"/>
              </w:rPr>
            </w:pPr>
          </w:p>
        </w:tc>
        <w:tc>
          <w:tcPr>
            <w:tcW w:w="3713" w:type="pct"/>
            <w:noWrap w:val="0"/>
            <w:tcMar>
              <w:top w:w="0" w:type="dxa"/>
              <w:left w:w="57" w:type="dxa"/>
              <w:bottom w:w="0" w:type="dxa"/>
              <w:right w:w="57" w:type="dxa"/>
            </w:tcMar>
            <w:vAlign w:val="center"/>
          </w:tcPr>
          <w:p w14:paraId="6FA4C53C">
            <w:pPr>
              <w:spacing w:before="20" w:after="20" w:line="300" w:lineRule="auto"/>
              <w:rPr>
                <w:rFonts w:ascii="Times New Roman" w:hAnsi="Times New Roman" w:eastAsia="宋体"/>
                <w:sz w:val="21"/>
              </w:rPr>
            </w:pPr>
            <w:r>
              <w:rPr>
                <w:rFonts w:ascii="Times New Roman" w:hAnsi="Times New Roman" w:eastAsia="宋体"/>
                <w:sz w:val="21"/>
              </w:rPr>
              <w:t>1年以上</w:t>
            </w:r>
          </w:p>
        </w:tc>
        <w:tc>
          <w:tcPr>
            <w:tcW w:w="590" w:type="pct"/>
            <w:noWrap w:val="0"/>
            <w:tcMar>
              <w:top w:w="0" w:type="dxa"/>
              <w:left w:w="57" w:type="dxa"/>
              <w:bottom w:w="0" w:type="dxa"/>
              <w:right w:w="57" w:type="dxa"/>
            </w:tcMar>
            <w:vAlign w:val="center"/>
          </w:tcPr>
          <w:p w14:paraId="29084F1D">
            <w:pPr>
              <w:spacing w:before="20" w:after="20" w:line="300" w:lineRule="auto"/>
              <w:jc w:val="center"/>
              <w:rPr>
                <w:rFonts w:ascii="Times New Roman" w:hAnsi="Times New Roman" w:eastAsia="宋体"/>
                <w:sz w:val="21"/>
              </w:rPr>
            </w:pPr>
            <w:r>
              <w:rPr>
                <w:rFonts w:hint="eastAsia" w:ascii="Times New Roman" w:hAnsi="Times New Roman" w:eastAsia="宋体"/>
                <w:sz w:val="21"/>
              </w:rPr>
              <w:t>5</w:t>
            </w:r>
          </w:p>
        </w:tc>
      </w:tr>
      <w:tr w14:paraId="38D74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vMerge w:val="restart"/>
            <w:noWrap w:val="0"/>
            <w:tcMar>
              <w:top w:w="0" w:type="dxa"/>
              <w:left w:w="57" w:type="dxa"/>
              <w:bottom w:w="0" w:type="dxa"/>
              <w:right w:w="57" w:type="dxa"/>
            </w:tcMar>
            <w:vAlign w:val="center"/>
          </w:tcPr>
          <w:p w14:paraId="6F5BB2CB">
            <w:pPr>
              <w:spacing w:before="20" w:after="20" w:line="300" w:lineRule="auto"/>
              <w:jc w:val="center"/>
              <w:rPr>
                <w:rFonts w:hint="eastAsia"/>
                <w:b/>
              </w:rPr>
            </w:pPr>
            <w:r>
              <w:rPr>
                <w:b/>
              </w:rPr>
              <w:t>废气类别</w:t>
            </w:r>
          </w:p>
        </w:tc>
        <w:tc>
          <w:tcPr>
            <w:tcW w:w="3713" w:type="pct"/>
            <w:noWrap w:val="0"/>
            <w:tcMar>
              <w:top w:w="0" w:type="dxa"/>
              <w:left w:w="57" w:type="dxa"/>
              <w:bottom w:w="0" w:type="dxa"/>
              <w:right w:w="57" w:type="dxa"/>
            </w:tcMar>
            <w:vAlign w:val="center"/>
          </w:tcPr>
          <w:p w14:paraId="75202732">
            <w:pPr>
              <w:spacing w:before="20" w:after="20" w:line="300" w:lineRule="auto"/>
              <w:rPr>
                <w:rFonts w:ascii="Times New Roman" w:hAnsi="Times New Roman" w:eastAsia="宋体"/>
                <w:sz w:val="21"/>
              </w:rPr>
            </w:pPr>
            <w:r>
              <w:rPr>
                <w:rFonts w:ascii="Times New Roman" w:hAnsi="Times New Roman" w:eastAsia="宋体"/>
                <w:sz w:val="21"/>
              </w:rPr>
              <w:t>餐饮油烟（经营）</w:t>
            </w:r>
          </w:p>
        </w:tc>
        <w:tc>
          <w:tcPr>
            <w:tcW w:w="590" w:type="pct"/>
            <w:noWrap w:val="0"/>
            <w:tcMar>
              <w:top w:w="0" w:type="dxa"/>
              <w:left w:w="57" w:type="dxa"/>
              <w:bottom w:w="0" w:type="dxa"/>
              <w:right w:w="57" w:type="dxa"/>
            </w:tcMar>
            <w:vAlign w:val="center"/>
          </w:tcPr>
          <w:p w14:paraId="0ACBC085">
            <w:pPr>
              <w:spacing w:before="20" w:after="20" w:line="300" w:lineRule="auto"/>
              <w:jc w:val="center"/>
              <w:rPr>
                <w:rFonts w:ascii="Times New Roman" w:hAnsi="Times New Roman" w:eastAsia="宋体"/>
                <w:sz w:val="21"/>
              </w:rPr>
            </w:pPr>
            <w:r>
              <w:rPr>
                <w:rFonts w:ascii="Times New Roman" w:hAnsi="Times New Roman" w:eastAsia="宋体"/>
                <w:sz w:val="21"/>
              </w:rPr>
              <w:t>1</w:t>
            </w:r>
          </w:p>
        </w:tc>
      </w:tr>
      <w:tr w14:paraId="6BBB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vMerge w:val="continue"/>
            <w:noWrap w:val="0"/>
            <w:tcMar>
              <w:top w:w="0" w:type="dxa"/>
              <w:left w:w="57" w:type="dxa"/>
              <w:bottom w:w="0" w:type="dxa"/>
              <w:right w:w="57" w:type="dxa"/>
            </w:tcMar>
            <w:vAlign w:val="center"/>
          </w:tcPr>
          <w:p w14:paraId="49BCBBA0">
            <w:pPr>
              <w:topLinePunct/>
              <w:autoSpaceDE w:val="0"/>
              <w:autoSpaceDN w:val="0"/>
              <w:adjustRightInd w:val="0"/>
              <w:snapToGrid w:val="0"/>
              <w:spacing w:line="312" w:lineRule="exact"/>
              <w:jc w:val="center"/>
              <w:textAlignment w:val="baseline"/>
              <w:rPr>
                <w:rFonts w:ascii="Times New Roman" w:hAnsi="Times New Roman"/>
                <w:sz w:val="20"/>
                <w:szCs w:val="20"/>
              </w:rPr>
            </w:pPr>
          </w:p>
        </w:tc>
        <w:tc>
          <w:tcPr>
            <w:tcW w:w="3713" w:type="pct"/>
            <w:noWrap w:val="0"/>
            <w:tcMar>
              <w:top w:w="0" w:type="dxa"/>
              <w:left w:w="57" w:type="dxa"/>
              <w:bottom w:w="0" w:type="dxa"/>
              <w:right w:w="57" w:type="dxa"/>
            </w:tcMar>
            <w:vAlign w:val="center"/>
          </w:tcPr>
          <w:p w14:paraId="3533C99C">
            <w:pPr>
              <w:spacing w:before="20" w:after="20" w:line="300" w:lineRule="auto"/>
              <w:rPr>
                <w:rFonts w:ascii="Times New Roman" w:hAnsi="Times New Roman" w:eastAsia="宋体"/>
                <w:sz w:val="21"/>
              </w:rPr>
            </w:pPr>
            <w:r>
              <w:rPr>
                <w:rFonts w:ascii="Times New Roman" w:hAnsi="Times New Roman" w:eastAsia="宋体"/>
                <w:sz w:val="21"/>
              </w:rPr>
              <w:t>农业生产</w:t>
            </w:r>
            <w:r>
              <w:rPr>
                <w:rFonts w:hint="eastAsia" w:ascii="Times New Roman" w:hAnsi="Times New Roman" w:eastAsia="宋体"/>
                <w:sz w:val="21"/>
              </w:rPr>
              <w:t>废气</w:t>
            </w:r>
            <w:r>
              <w:rPr>
                <w:rFonts w:ascii="Times New Roman" w:hAnsi="Times New Roman" w:eastAsia="宋体"/>
                <w:sz w:val="21"/>
              </w:rPr>
              <w:t>/畜禽养殖</w:t>
            </w:r>
            <w:r>
              <w:rPr>
                <w:rFonts w:hint="eastAsia" w:ascii="Times New Roman" w:hAnsi="Times New Roman" w:eastAsia="宋体"/>
                <w:sz w:val="21"/>
              </w:rPr>
              <w:t>废气</w:t>
            </w:r>
            <w:r>
              <w:rPr>
                <w:rFonts w:ascii="Times New Roman" w:hAnsi="Times New Roman" w:eastAsia="宋体"/>
                <w:sz w:val="21"/>
              </w:rPr>
              <w:t>/工地扬尘/机械、汽车修理废气</w:t>
            </w:r>
          </w:p>
        </w:tc>
        <w:tc>
          <w:tcPr>
            <w:tcW w:w="590" w:type="pct"/>
            <w:noWrap w:val="0"/>
            <w:tcMar>
              <w:top w:w="0" w:type="dxa"/>
              <w:left w:w="57" w:type="dxa"/>
              <w:bottom w:w="0" w:type="dxa"/>
              <w:right w:w="57" w:type="dxa"/>
            </w:tcMar>
            <w:vAlign w:val="center"/>
          </w:tcPr>
          <w:p w14:paraId="7EEE17B0">
            <w:pPr>
              <w:spacing w:before="20" w:after="20" w:line="300" w:lineRule="auto"/>
              <w:jc w:val="center"/>
              <w:rPr>
                <w:rFonts w:ascii="Times New Roman" w:hAnsi="Times New Roman" w:eastAsia="宋体"/>
                <w:sz w:val="21"/>
              </w:rPr>
            </w:pPr>
            <w:r>
              <w:rPr>
                <w:rFonts w:ascii="Times New Roman" w:hAnsi="Times New Roman" w:eastAsia="宋体"/>
                <w:sz w:val="21"/>
              </w:rPr>
              <w:t>2</w:t>
            </w:r>
          </w:p>
        </w:tc>
      </w:tr>
      <w:tr w14:paraId="1FAD7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vMerge w:val="continue"/>
            <w:noWrap w:val="0"/>
            <w:tcMar>
              <w:top w:w="0" w:type="dxa"/>
              <w:left w:w="57" w:type="dxa"/>
              <w:bottom w:w="0" w:type="dxa"/>
              <w:right w:w="57" w:type="dxa"/>
            </w:tcMar>
            <w:vAlign w:val="center"/>
          </w:tcPr>
          <w:p w14:paraId="6FD8139E">
            <w:pPr>
              <w:topLinePunct/>
              <w:autoSpaceDE w:val="0"/>
              <w:autoSpaceDN w:val="0"/>
              <w:adjustRightInd w:val="0"/>
              <w:snapToGrid w:val="0"/>
              <w:spacing w:line="312" w:lineRule="exact"/>
              <w:jc w:val="center"/>
              <w:textAlignment w:val="baseline"/>
              <w:rPr>
                <w:rFonts w:ascii="Times New Roman" w:hAnsi="Times New Roman"/>
                <w:sz w:val="20"/>
                <w:szCs w:val="20"/>
              </w:rPr>
            </w:pPr>
          </w:p>
        </w:tc>
        <w:tc>
          <w:tcPr>
            <w:tcW w:w="3713" w:type="pct"/>
            <w:noWrap w:val="0"/>
            <w:tcMar>
              <w:top w:w="0" w:type="dxa"/>
              <w:left w:w="57" w:type="dxa"/>
              <w:bottom w:w="0" w:type="dxa"/>
              <w:right w:w="57" w:type="dxa"/>
            </w:tcMar>
            <w:vAlign w:val="center"/>
          </w:tcPr>
          <w:p w14:paraId="7B3A2254">
            <w:pPr>
              <w:spacing w:before="20" w:after="20" w:line="300" w:lineRule="auto"/>
              <w:rPr>
                <w:rFonts w:ascii="Times New Roman" w:hAnsi="Times New Roman" w:eastAsia="宋体"/>
                <w:sz w:val="21"/>
              </w:rPr>
            </w:pPr>
            <w:r>
              <w:rPr>
                <w:rFonts w:ascii="Times New Roman" w:hAnsi="Times New Roman" w:eastAsia="宋体"/>
                <w:sz w:val="21"/>
              </w:rPr>
              <w:t>一般工业废气/含恶臭污染物的废气</w:t>
            </w:r>
            <w:r>
              <w:rPr>
                <w:rFonts w:hint="eastAsia" w:ascii="Times New Roman" w:hAnsi="Times New Roman" w:eastAsia="宋体"/>
                <w:sz w:val="21"/>
              </w:rPr>
              <w:t>（除</w:t>
            </w:r>
            <w:r>
              <w:rPr>
                <w:rFonts w:ascii="Times New Roman" w:hAnsi="Times New Roman" w:eastAsia="宋体"/>
                <w:sz w:val="21"/>
              </w:rPr>
              <w:t>畜禽养殖</w:t>
            </w:r>
            <w:r>
              <w:rPr>
                <w:rFonts w:hint="eastAsia" w:ascii="Times New Roman" w:hAnsi="Times New Roman" w:eastAsia="宋体"/>
                <w:sz w:val="21"/>
              </w:rPr>
              <w:t>废气）</w:t>
            </w:r>
            <w:r>
              <w:rPr>
                <w:rFonts w:ascii="Times New Roman" w:hAnsi="Times New Roman" w:eastAsia="宋体"/>
                <w:sz w:val="21"/>
              </w:rPr>
              <w:t>/医疗废气/实验室废气</w:t>
            </w:r>
          </w:p>
        </w:tc>
        <w:tc>
          <w:tcPr>
            <w:tcW w:w="590" w:type="pct"/>
            <w:noWrap w:val="0"/>
            <w:tcMar>
              <w:top w:w="0" w:type="dxa"/>
              <w:left w:w="57" w:type="dxa"/>
              <w:bottom w:w="0" w:type="dxa"/>
              <w:right w:w="57" w:type="dxa"/>
            </w:tcMar>
            <w:vAlign w:val="center"/>
          </w:tcPr>
          <w:p w14:paraId="7107A175">
            <w:pPr>
              <w:spacing w:before="20" w:after="20" w:line="300" w:lineRule="auto"/>
              <w:jc w:val="center"/>
              <w:rPr>
                <w:rFonts w:ascii="Times New Roman" w:hAnsi="Times New Roman" w:eastAsia="宋体"/>
                <w:sz w:val="21"/>
              </w:rPr>
            </w:pPr>
            <w:r>
              <w:rPr>
                <w:rFonts w:ascii="Times New Roman" w:hAnsi="Times New Roman" w:eastAsia="宋体"/>
                <w:sz w:val="21"/>
              </w:rPr>
              <w:t>3</w:t>
            </w:r>
          </w:p>
        </w:tc>
      </w:tr>
      <w:tr w14:paraId="08E63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97" w:type="pct"/>
            <w:vMerge w:val="continue"/>
            <w:noWrap w:val="0"/>
            <w:tcMar>
              <w:top w:w="0" w:type="dxa"/>
              <w:left w:w="57" w:type="dxa"/>
              <w:bottom w:w="0" w:type="dxa"/>
              <w:right w:w="57" w:type="dxa"/>
            </w:tcMar>
            <w:vAlign w:val="center"/>
          </w:tcPr>
          <w:p w14:paraId="429D47C5">
            <w:pPr>
              <w:topLinePunct/>
              <w:autoSpaceDE w:val="0"/>
              <w:autoSpaceDN w:val="0"/>
              <w:adjustRightInd w:val="0"/>
              <w:snapToGrid w:val="0"/>
              <w:spacing w:line="312" w:lineRule="exact"/>
              <w:jc w:val="center"/>
              <w:textAlignment w:val="baseline"/>
              <w:rPr>
                <w:rFonts w:ascii="Times New Roman" w:hAnsi="Times New Roman"/>
                <w:sz w:val="20"/>
                <w:szCs w:val="20"/>
              </w:rPr>
            </w:pPr>
          </w:p>
        </w:tc>
        <w:tc>
          <w:tcPr>
            <w:tcW w:w="3713" w:type="pct"/>
            <w:noWrap w:val="0"/>
            <w:tcMar>
              <w:top w:w="0" w:type="dxa"/>
              <w:left w:w="57" w:type="dxa"/>
              <w:bottom w:w="0" w:type="dxa"/>
              <w:right w:w="57" w:type="dxa"/>
            </w:tcMar>
            <w:vAlign w:val="center"/>
          </w:tcPr>
          <w:p w14:paraId="7A53811D">
            <w:pPr>
              <w:spacing w:before="20" w:after="20" w:line="300" w:lineRule="auto"/>
              <w:rPr>
                <w:rFonts w:ascii="Times New Roman" w:hAnsi="Times New Roman" w:eastAsia="宋体"/>
                <w:sz w:val="21"/>
              </w:rPr>
            </w:pPr>
            <w:r>
              <w:rPr>
                <w:rFonts w:ascii="Times New Roman" w:hAnsi="Times New Roman" w:eastAsia="宋体"/>
                <w:sz w:val="21"/>
              </w:rPr>
              <w:t>火电、钢铁、石化、水泥、炼焦、有色、化工废气、烟尘/燃煤锅炉废气、烟尘</w:t>
            </w:r>
          </w:p>
        </w:tc>
        <w:tc>
          <w:tcPr>
            <w:tcW w:w="590" w:type="pct"/>
            <w:noWrap w:val="0"/>
            <w:tcMar>
              <w:top w:w="0" w:type="dxa"/>
              <w:left w:w="57" w:type="dxa"/>
              <w:bottom w:w="0" w:type="dxa"/>
              <w:right w:w="57" w:type="dxa"/>
            </w:tcMar>
            <w:vAlign w:val="center"/>
          </w:tcPr>
          <w:p w14:paraId="04F2CE65">
            <w:pPr>
              <w:spacing w:before="20" w:after="20" w:line="300" w:lineRule="auto"/>
              <w:jc w:val="center"/>
              <w:rPr>
                <w:rFonts w:ascii="Times New Roman" w:hAnsi="Times New Roman" w:eastAsia="宋体"/>
                <w:sz w:val="21"/>
              </w:rPr>
            </w:pPr>
            <w:r>
              <w:rPr>
                <w:rFonts w:ascii="Times New Roman" w:hAnsi="Times New Roman" w:eastAsia="宋体"/>
                <w:sz w:val="21"/>
              </w:rPr>
              <w:t>4</w:t>
            </w:r>
          </w:p>
        </w:tc>
      </w:tr>
      <w:tr w14:paraId="5CF5B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vMerge w:val="continue"/>
            <w:noWrap w:val="0"/>
            <w:tcMar>
              <w:top w:w="0" w:type="dxa"/>
              <w:left w:w="57" w:type="dxa"/>
              <w:bottom w:w="0" w:type="dxa"/>
              <w:right w:w="57" w:type="dxa"/>
            </w:tcMar>
            <w:vAlign w:val="center"/>
          </w:tcPr>
          <w:p w14:paraId="2F46095D">
            <w:pPr>
              <w:topLinePunct/>
              <w:autoSpaceDE w:val="0"/>
              <w:autoSpaceDN w:val="0"/>
              <w:adjustRightInd w:val="0"/>
              <w:snapToGrid w:val="0"/>
              <w:spacing w:line="312" w:lineRule="exact"/>
              <w:jc w:val="center"/>
              <w:textAlignment w:val="baseline"/>
              <w:rPr>
                <w:rFonts w:ascii="Times New Roman" w:hAnsi="Times New Roman"/>
                <w:sz w:val="20"/>
                <w:szCs w:val="20"/>
              </w:rPr>
            </w:pPr>
          </w:p>
        </w:tc>
        <w:tc>
          <w:tcPr>
            <w:tcW w:w="3713" w:type="pct"/>
            <w:noWrap w:val="0"/>
            <w:tcMar>
              <w:top w:w="0" w:type="dxa"/>
              <w:left w:w="57" w:type="dxa"/>
              <w:bottom w:w="0" w:type="dxa"/>
              <w:right w:w="57" w:type="dxa"/>
            </w:tcMar>
            <w:vAlign w:val="center"/>
          </w:tcPr>
          <w:p w14:paraId="5C50CA07">
            <w:pPr>
              <w:spacing w:before="20" w:after="20" w:line="300" w:lineRule="auto"/>
              <w:rPr>
                <w:rFonts w:ascii="Times New Roman" w:hAnsi="Times New Roman" w:eastAsia="宋体"/>
                <w:sz w:val="21"/>
              </w:rPr>
            </w:pPr>
            <w:r>
              <w:rPr>
                <w:rFonts w:ascii="Times New Roman" w:hAnsi="Times New Roman" w:eastAsia="宋体"/>
                <w:sz w:val="21"/>
              </w:rPr>
              <w:t>含</w:t>
            </w:r>
            <w:r>
              <w:rPr>
                <w:rFonts w:hint="eastAsia" w:ascii="Times New Roman" w:hAnsi="Times New Roman" w:eastAsia="宋体"/>
                <w:sz w:val="21"/>
              </w:rPr>
              <w:t>其他</w:t>
            </w:r>
            <w:r>
              <w:rPr>
                <w:rFonts w:ascii="Times New Roman" w:hAnsi="Times New Roman" w:eastAsia="宋体"/>
                <w:sz w:val="21"/>
              </w:rPr>
              <w:t>有毒有害物质的废气</w:t>
            </w:r>
          </w:p>
        </w:tc>
        <w:tc>
          <w:tcPr>
            <w:tcW w:w="590" w:type="pct"/>
            <w:noWrap w:val="0"/>
            <w:tcMar>
              <w:top w:w="0" w:type="dxa"/>
              <w:left w:w="57" w:type="dxa"/>
              <w:bottom w:w="0" w:type="dxa"/>
              <w:right w:w="57" w:type="dxa"/>
            </w:tcMar>
            <w:vAlign w:val="center"/>
          </w:tcPr>
          <w:p w14:paraId="5C707A55">
            <w:pPr>
              <w:spacing w:before="20" w:after="20" w:line="300" w:lineRule="auto"/>
              <w:jc w:val="center"/>
              <w:rPr>
                <w:rFonts w:ascii="Times New Roman" w:hAnsi="Times New Roman" w:eastAsia="宋体"/>
                <w:sz w:val="21"/>
              </w:rPr>
            </w:pPr>
            <w:r>
              <w:rPr>
                <w:rFonts w:ascii="Times New Roman" w:hAnsi="Times New Roman" w:eastAsia="宋体"/>
                <w:sz w:val="21"/>
              </w:rPr>
              <w:t>5</w:t>
            </w:r>
          </w:p>
        </w:tc>
      </w:tr>
      <w:tr w14:paraId="05EA3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vMerge w:val="restart"/>
            <w:noWrap w:val="0"/>
            <w:tcMar>
              <w:top w:w="0" w:type="dxa"/>
              <w:left w:w="57" w:type="dxa"/>
              <w:bottom w:w="0" w:type="dxa"/>
              <w:right w:w="57" w:type="dxa"/>
            </w:tcMar>
            <w:vAlign w:val="center"/>
          </w:tcPr>
          <w:p w14:paraId="121DA9EA">
            <w:pPr>
              <w:spacing w:before="20" w:after="20" w:line="300" w:lineRule="auto"/>
              <w:jc w:val="center"/>
              <w:rPr>
                <w:rFonts w:hint="eastAsia"/>
                <w:b/>
              </w:rPr>
            </w:pPr>
            <w:r>
              <w:rPr>
                <w:b/>
              </w:rPr>
              <w:t>废水类别</w:t>
            </w:r>
          </w:p>
        </w:tc>
        <w:tc>
          <w:tcPr>
            <w:tcW w:w="3713" w:type="pct"/>
            <w:noWrap w:val="0"/>
            <w:tcMar>
              <w:top w:w="0" w:type="dxa"/>
              <w:left w:w="57" w:type="dxa"/>
              <w:bottom w:w="0" w:type="dxa"/>
              <w:right w:w="57" w:type="dxa"/>
            </w:tcMar>
            <w:vAlign w:val="center"/>
          </w:tcPr>
          <w:p w14:paraId="7C2E9AB8">
            <w:pPr>
              <w:spacing w:before="20" w:after="20" w:line="300" w:lineRule="auto"/>
              <w:rPr>
                <w:rFonts w:ascii="Times New Roman" w:hAnsi="Times New Roman" w:eastAsia="宋体"/>
                <w:sz w:val="21"/>
              </w:rPr>
            </w:pPr>
            <w:r>
              <w:rPr>
                <w:rFonts w:hint="eastAsia" w:ascii="Times New Roman" w:hAnsi="Times New Roman" w:eastAsia="宋体"/>
                <w:sz w:val="21"/>
              </w:rPr>
              <w:t>生活污水</w:t>
            </w:r>
          </w:p>
        </w:tc>
        <w:tc>
          <w:tcPr>
            <w:tcW w:w="590" w:type="pct"/>
            <w:noWrap w:val="0"/>
            <w:tcMar>
              <w:top w:w="0" w:type="dxa"/>
              <w:left w:w="57" w:type="dxa"/>
              <w:bottom w:w="0" w:type="dxa"/>
              <w:right w:w="57" w:type="dxa"/>
            </w:tcMar>
            <w:vAlign w:val="center"/>
          </w:tcPr>
          <w:p w14:paraId="6ED917EC">
            <w:pPr>
              <w:spacing w:before="20" w:after="20" w:line="300" w:lineRule="auto"/>
              <w:jc w:val="center"/>
              <w:rPr>
                <w:rFonts w:ascii="Times New Roman" w:hAnsi="Times New Roman" w:eastAsia="宋体"/>
                <w:sz w:val="21"/>
              </w:rPr>
            </w:pPr>
            <w:r>
              <w:rPr>
                <w:rFonts w:ascii="Times New Roman" w:hAnsi="Times New Roman" w:eastAsia="宋体"/>
                <w:sz w:val="21"/>
              </w:rPr>
              <w:t>1</w:t>
            </w:r>
          </w:p>
        </w:tc>
      </w:tr>
      <w:tr w14:paraId="32D7D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97" w:type="pct"/>
            <w:vMerge w:val="continue"/>
            <w:noWrap w:val="0"/>
            <w:tcMar>
              <w:top w:w="0" w:type="dxa"/>
              <w:left w:w="57" w:type="dxa"/>
              <w:bottom w:w="0" w:type="dxa"/>
              <w:right w:w="57" w:type="dxa"/>
            </w:tcMar>
            <w:vAlign w:val="center"/>
          </w:tcPr>
          <w:p w14:paraId="158904E4">
            <w:pPr>
              <w:topLinePunct/>
              <w:autoSpaceDE w:val="0"/>
              <w:autoSpaceDN w:val="0"/>
              <w:adjustRightInd w:val="0"/>
              <w:snapToGrid w:val="0"/>
              <w:spacing w:line="312" w:lineRule="exact"/>
              <w:jc w:val="center"/>
              <w:textAlignment w:val="baseline"/>
              <w:rPr>
                <w:rFonts w:ascii="Times New Roman" w:hAnsi="Times New Roman"/>
                <w:sz w:val="20"/>
                <w:szCs w:val="20"/>
              </w:rPr>
            </w:pPr>
          </w:p>
        </w:tc>
        <w:tc>
          <w:tcPr>
            <w:tcW w:w="3713" w:type="pct"/>
            <w:noWrap w:val="0"/>
            <w:tcMar>
              <w:top w:w="0" w:type="dxa"/>
              <w:left w:w="57" w:type="dxa"/>
              <w:bottom w:w="0" w:type="dxa"/>
              <w:right w:w="57" w:type="dxa"/>
            </w:tcMar>
            <w:vAlign w:val="center"/>
          </w:tcPr>
          <w:p w14:paraId="5C6EAD99">
            <w:pPr>
              <w:spacing w:before="20" w:after="20" w:line="300" w:lineRule="auto"/>
              <w:rPr>
                <w:rFonts w:ascii="Times New Roman" w:hAnsi="Times New Roman" w:eastAsia="宋体"/>
                <w:sz w:val="21"/>
              </w:rPr>
            </w:pPr>
            <w:r>
              <w:rPr>
                <w:rFonts w:ascii="Times New Roman" w:hAnsi="Times New Roman" w:eastAsia="宋体"/>
                <w:sz w:val="21"/>
              </w:rPr>
              <w:t>服务业废水、畜禽散养养殖废水</w:t>
            </w:r>
          </w:p>
        </w:tc>
        <w:tc>
          <w:tcPr>
            <w:tcW w:w="590" w:type="pct"/>
            <w:noWrap w:val="0"/>
            <w:tcMar>
              <w:top w:w="0" w:type="dxa"/>
              <w:left w:w="57" w:type="dxa"/>
              <w:bottom w:w="0" w:type="dxa"/>
              <w:right w:w="57" w:type="dxa"/>
            </w:tcMar>
            <w:vAlign w:val="center"/>
          </w:tcPr>
          <w:p w14:paraId="3CB9B4F8">
            <w:pPr>
              <w:spacing w:before="20" w:after="20" w:line="300" w:lineRule="auto"/>
              <w:jc w:val="center"/>
              <w:rPr>
                <w:rFonts w:ascii="Times New Roman" w:hAnsi="Times New Roman" w:eastAsia="宋体"/>
                <w:sz w:val="21"/>
              </w:rPr>
            </w:pPr>
            <w:r>
              <w:rPr>
                <w:rFonts w:ascii="Times New Roman" w:hAnsi="Times New Roman" w:eastAsia="宋体"/>
                <w:sz w:val="21"/>
              </w:rPr>
              <w:t>2</w:t>
            </w:r>
          </w:p>
        </w:tc>
      </w:tr>
      <w:tr w14:paraId="1EFA3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vMerge w:val="continue"/>
            <w:noWrap w:val="0"/>
            <w:tcMar>
              <w:top w:w="0" w:type="dxa"/>
              <w:left w:w="57" w:type="dxa"/>
              <w:bottom w:w="0" w:type="dxa"/>
              <w:right w:w="57" w:type="dxa"/>
            </w:tcMar>
            <w:vAlign w:val="center"/>
          </w:tcPr>
          <w:p w14:paraId="51AA0658">
            <w:pPr>
              <w:topLinePunct/>
              <w:autoSpaceDE w:val="0"/>
              <w:autoSpaceDN w:val="0"/>
              <w:adjustRightInd w:val="0"/>
              <w:snapToGrid w:val="0"/>
              <w:spacing w:line="312" w:lineRule="exact"/>
              <w:jc w:val="center"/>
              <w:textAlignment w:val="baseline"/>
              <w:rPr>
                <w:rFonts w:ascii="Times New Roman" w:hAnsi="Times New Roman"/>
                <w:sz w:val="20"/>
                <w:szCs w:val="20"/>
              </w:rPr>
            </w:pPr>
          </w:p>
        </w:tc>
        <w:tc>
          <w:tcPr>
            <w:tcW w:w="3713" w:type="pct"/>
            <w:noWrap w:val="0"/>
            <w:tcMar>
              <w:top w:w="0" w:type="dxa"/>
              <w:left w:w="57" w:type="dxa"/>
              <w:bottom w:w="0" w:type="dxa"/>
              <w:right w:w="57" w:type="dxa"/>
            </w:tcMar>
            <w:vAlign w:val="center"/>
          </w:tcPr>
          <w:p w14:paraId="03F7734A">
            <w:pPr>
              <w:spacing w:before="20" w:after="20" w:line="300" w:lineRule="auto"/>
              <w:rPr>
                <w:rFonts w:ascii="Times New Roman" w:hAnsi="Times New Roman" w:eastAsia="宋体"/>
                <w:sz w:val="21"/>
              </w:rPr>
            </w:pPr>
            <w:r>
              <w:rPr>
                <w:rFonts w:ascii="Times New Roman" w:hAnsi="Times New Roman" w:eastAsia="宋体"/>
                <w:sz w:val="21"/>
              </w:rPr>
              <w:t>一般工业废水、规模化以上养殖企业养殖废水</w:t>
            </w:r>
          </w:p>
        </w:tc>
        <w:tc>
          <w:tcPr>
            <w:tcW w:w="590" w:type="pct"/>
            <w:noWrap w:val="0"/>
            <w:tcMar>
              <w:top w:w="0" w:type="dxa"/>
              <w:left w:w="57" w:type="dxa"/>
              <w:bottom w:w="0" w:type="dxa"/>
              <w:right w:w="57" w:type="dxa"/>
            </w:tcMar>
            <w:vAlign w:val="center"/>
          </w:tcPr>
          <w:p w14:paraId="43062BFA">
            <w:pPr>
              <w:spacing w:before="20" w:after="20" w:line="300" w:lineRule="auto"/>
              <w:jc w:val="center"/>
              <w:rPr>
                <w:rFonts w:ascii="Times New Roman" w:hAnsi="Times New Roman" w:eastAsia="宋体"/>
                <w:sz w:val="21"/>
              </w:rPr>
            </w:pPr>
            <w:r>
              <w:rPr>
                <w:rFonts w:ascii="Times New Roman" w:hAnsi="Times New Roman" w:eastAsia="宋体"/>
                <w:sz w:val="21"/>
              </w:rPr>
              <w:t>3</w:t>
            </w:r>
          </w:p>
        </w:tc>
      </w:tr>
      <w:tr w14:paraId="6EE46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97" w:type="pct"/>
            <w:vMerge w:val="continue"/>
            <w:noWrap w:val="0"/>
            <w:tcMar>
              <w:top w:w="0" w:type="dxa"/>
              <w:left w:w="57" w:type="dxa"/>
              <w:bottom w:w="0" w:type="dxa"/>
              <w:right w:w="57" w:type="dxa"/>
            </w:tcMar>
            <w:vAlign w:val="center"/>
          </w:tcPr>
          <w:p w14:paraId="7E3AB293">
            <w:pPr>
              <w:topLinePunct/>
              <w:autoSpaceDE w:val="0"/>
              <w:autoSpaceDN w:val="0"/>
              <w:adjustRightInd w:val="0"/>
              <w:snapToGrid w:val="0"/>
              <w:spacing w:line="312" w:lineRule="exact"/>
              <w:jc w:val="center"/>
              <w:textAlignment w:val="baseline"/>
              <w:rPr>
                <w:rFonts w:ascii="Times New Roman" w:hAnsi="Times New Roman"/>
                <w:sz w:val="20"/>
                <w:szCs w:val="20"/>
              </w:rPr>
            </w:pPr>
          </w:p>
        </w:tc>
        <w:tc>
          <w:tcPr>
            <w:tcW w:w="3713" w:type="pct"/>
            <w:noWrap w:val="0"/>
            <w:tcMar>
              <w:top w:w="0" w:type="dxa"/>
              <w:left w:w="57" w:type="dxa"/>
              <w:bottom w:w="0" w:type="dxa"/>
              <w:right w:w="57" w:type="dxa"/>
            </w:tcMar>
            <w:vAlign w:val="center"/>
          </w:tcPr>
          <w:p w14:paraId="47D9B675">
            <w:pPr>
              <w:spacing w:before="20" w:after="20" w:line="300" w:lineRule="auto"/>
              <w:rPr>
                <w:rFonts w:ascii="Times New Roman" w:hAnsi="Times New Roman" w:eastAsia="宋体"/>
                <w:sz w:val="21"/>
              </w:rPr>
            </w:pPr>
            <w:r>
              <w:rPr>
                <w:rFonts w:ascii="Times New Roman" w:hAnsi="Times New Roman" w:eastAsia="宋体"/>
                <w:sz w:val="21"/>
              </w:rPr>
              <w:t>含</w:t>
            </w:r>
            <w:r>
              <w:rPr>
                <w:rFonts w:hint="eastAsia" w:ascii="Times New Roman" w:hAnsi="Times New Roman" w:eastAsia="宋体"/>
                <w:sz w:val="21"/>
              </w:rPr>
              <w:t>其他</w:t>
            </w:r>
            <w:r>
              <w:rPr>
                <w:rFonts w:ascii="Times New Roman" w:hAnsi="Times New Roman" w:eastAsia="宋体"/>
                <w:sz w:val="21"/>
              </w:rPr>
              <w:t>有毒有害污染物的废水、医疗废水</w:t>
            </w:r>
          </w:p>
        </w:tc>
        <w:tc>
          <w:tcPr>
            <w:tcW w:w="590" w:type="pct"/>
            <w:noWrap w:val="0"/>
            <w:tcMar>
              <w:top w:w="0" w:type="dxa"/>
              <w:left w:w="57" w:type="dxa"/>
              <w:bottom w:w="0" w:type="dxa"/>
              <w:right w:w="57" w:type="dxa"/>
            </w:tcMar>
            <w:vAlign w:val="center"/>
          </w:tcPr>
          <w:p w14:paraId="6A70B11B">
            <w:pPr>
              <w:spacing w:before="20" w:after="20" w:line="300" w:lineRule="auto"/>
              <w:jc w:val="center"/>
              <w:rPr>
                <w:rFonts w:ascii="Times New Roman" w:hAnsi="Times New Roman" w:eastAsia="宋体"/>
                <w:sz w:val="21"/>
              </w:rPr>
            </w:pPr>
            <w:r>
              <w:rPr>
                <w:rFonts w:ascii="Times New Roman" w:hAnsi="Times New Roman" w:eastAsia="宋体"/>
                <w:sz w:val="21"/>
              </w:rPr>
              <w:t>4</w:t>
            </w:r>
          </w:p>
        </w:tc>
      </w:tr>
      <w:tr w14:paraId="60845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vMerge w:val="continue"/>
            <w:noWrap w:val="0"/>
            <w:tcMar>
              <w:top w:w="0" w:type="dxa"/>
              <w:left w:w="57" w:type="dxa"/>
              <w:bottom w:w="0" w:type="dxa"/>
              <w:right w:w="57" w:type="dxa"/>
            </w:tcMar>
            <w:vAlign w:val="center"/>
          </w:tcPr>
          <w:p w14:paraId="50C55A76">
            <w:pPr>
              <w:topLinePunct/>
              <w:autoSpaceDE w:val="0"/>
              <w:autoSpaceDN w:val="0"/>
              <w:adjustRightInd w:val="0"/>
              <w:snapToGrid w:val="0"/>
              <w:spacing w:line="312" w:lineRule="exact"/>
              <w:jc w:val="center"/>
              <w:textAlignment w:val="baseline"/>
              <w:rPr>
                <w:rFonts w:ascii="Times New Roman" w:hAnsi="Times New Roman"/>
                <w:sz w:val="20"/>
                <w:szCs w:val="20"/>
              </w:rPr>
            </w:pPr>
          </w:p>
        </w:tc>
        <w:tc>
          <w:tcPr>
            <w:tcW w:w="3713" w:type="pct"/>
            <w:noWrap w:val="0"/>
            <w:tcMar>
              <w:top w:w="0" w:type="dxa"/>
              <w:left w:w="57" w:type="dxa"/>
              <w:bottom w:w="0" w:type="dxa"/>
              <w:right w:w="57" w:type="dxa"/>
            </w:tcMar>
            <w:vAlign w:val="center"/>
          </w:tcPr>
          <w:p w14:paraId="25CEFABC">
            <w:pPr>
              <w:spacing w:before="20" w:after="20" w:line="300" w:lineRule="auto"/>
              <w:rPr>
                <w:rFonts w:ascii="Times New Roman" w:hAnsi="Times New Roman" w:eastAsia="宋体"/>
                <w:sz w:val="21"/>
              </w:rPr>
            </w:pPr>
            <w:r>
              <w:rPr>
                <w:rFonts w:ascii="Times New Roman" w:hAnsi="Times New Roman" w:eastAsia="宋体"/>
                <w:sz w:val="21"/>
              </w:rPr>
              <w:t>含</w:t>
            </w:r>
            <w:r>
              <w:rPr>
                <w:rFonts w:hint="eastAsia" w:ascii="Times New Roman" w:hAnsi="Times New Roman" w:eastAsia="宋体"/>
                <w:sz w:val="21"/>
              </w:rPr>
              <w:t>第</w:t>
            </w:r>
            <w:r>
              <w:rPr>
                <w:rFonts w:ascii="Times New Roman" w:hAnsi="Times New Roman" w:eastAsia="宋体"/>
                <w:sz w:val="21"/>
              </w:rPr>
              <w:t>一类污染物或重金属、病原体、放射性物质的</w:t>
            </w:r>
            <w:r>
              <w:rPr>
                <w:rFonts w:hint="eastAsia" w:ascii="Times New Roman" w:hAnsi="Times New Roman" w:eastAsia="宋体"/>
                <w:sz w:val="21"/>
              </w:rPr>
              <w:t>废水</w:t>
            </w:r>
          </w:p>
        </w:tc>
        <w:tc>
          <w:tcPr>
            <w:tcW w:w="590" w:type="pct"/>
            <w:noWrap w:val="0"/>
            <w:tcMar>
              <w:top w:w="0" w:type="dxa"/>
              <w:left w:w="57" w:type="dxa"/>
              <w:bottom w:w="0" w:type="dxa"/>
              <w:right w:w="57" w:type="dxa"/>
            </w:tcMar>
            <w:vAlign w:val="center"/>
          </w:tcPr>
          <w:p w14:paraId="1A151E43">
            <w:pPr>
              <w:spacing w:before="20" w:after="20" w:line="300" w:lineRule="auto"/>
              <w:jc w:val="center"/>
              <w:rPr>
                <w:rFonts w:ascii="Times New Roman" w:hAnsi="Times New Roman" w:eastAsia="宋体"/>
                <w:sz w:val="21"/>
              </w:rPr>
            </w:pPr>
            <w:r>
              <w:rPr>
                <w:rFonts w:ascii="Times New Roman" w:hAnsi="Times New Roman" w:eastAsia="宋体"/>
                <w:sz w:val="21"/>
              </w:rPr>
              <w:t>5</w:t>
            </w:r>
          </w:p>
        </w:tc>
      </w:tr>
      <w:tr w14:paraId="7E676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vMerge w:val="restart"/>
            <w:noWrap w:val="0"/>
            <w:tcMar>
              <w:top w:w="0" w:type="dxa"/>
              <w:left w:w="57" w:type="dxa"/>
              <w:bottom w:w="0" w:type="dxa"/>
              <w:right w:w="57" w:type="dxa"/>
            </w:tcMar>
            <w:vAlign w:val="center"/>
          </w:tcPr>
          <w:p w14:paraId="3F7E5493">
            <w:pPr>
              <w:spacing w:before="20" w:after="20" w:line="300" w:lineRule="auto"/>
              <w:jc w:val="center"/>
              <w:rPr>
                <w:rFonts w:hint="eastAsia"/>
                <w:b/>
              </w:rPr>
            </w:pPr>
            <w:r>
              <w:rPr>
                <w:rFonts w:hint="eastAsia"/>
                <w:b/>
              </w:rPr>
              <w:t>声环境功能区类别</w:t>
            </w:r>
          </w:p>
        </w:tc>
        <w:tc>
          <w:tcPr>
            <w:tcW w:w="3713" w:type="pct"/>
            <w:noWrap w:val="0"/>
            <w:tcMar>
              <w:top w:w="0" w:type="dxa"/>
              <w:left w:w="57" w:type="dxa"/>
              <w:bottom w:w="0" w:type="dxa"/>
              <w:right w:w="57" w:type="dxa"/>
            </w:tcMar>
            <w:vAlign w:val="center"/>
          </w:tcPr>
          <w:p w14:paraId="2DD07F29">
            <w:pPr>
              <w:spacing w:before="20" w:after="20" w:line="300" w:lineRule="auto"/>
              <w:rPr>
                <w:rFonts w:ascii="Times New Roman" w:hAnsi="Times New Roman" w:eastAsia="宋体"/>
                <w:sz w:val="21"/>
              </w:rPr>
            </w:pPr>
            <w:r>
              <w:rPr>
                <w:rFonts w:hint="eastAsia" w:ascii="Times New Roman" w:hAnsi="Times New Roman" w:eastAsia="宋体"/>
                <w:sz w:val="21"/>
              </w:rPr>
              <w:t>4</w:t>
            </w:r>
            <w:r>
              <w:rPr>
                <w:rFonts w:ascii="Times New Roman" w:hAnsi="Times New Roman" w:eastAsia="宋体"/>
                <w:sz w:val="21"/>
              </w:rPr>
              <w:t>类</w:t>
            </w:r>
            <w:r>
              <w:rPr>
                <w:rFonts w:hint="eastAsia" w:ascii="Times New Roman" w:hAnsi="Times New Roman" w:eastAsia="宋体"/>
                <w:sz w:val="21"/>
              </w:rPr>
              <w:t>声环境</w:t>
            </w:r>
            <w:r>
              <w:rPr>
                <w:rFonts w:ascii="Times New Roman" w:hAnsi="Times New Roman" w:eastAsia="宋体"/>
                <w:sz w:val="21"/>
              </w:rPr>
              <w:t>功能区</w:t>
            </w:r>
          </w:p>
        </w:tc>
        <w:tc>
          <w:tcPr>
            <w:tcW w:w="590" w:type="pct"/>
            <w:noWrap w:val="0"/>
            <w:tcMar>
              <w:top w:w="0" w:type="dxa"/>
              <w:left w:w="57" w:type="dxa"/>
              <w:bottom w:w="0" w:type="dxa"/>
              <w:right w:w="57" w:type="dxa"/>
            </w:tcMar>
            <w:vAlign w:val="center"/>
          </w:tcPr>
          <w:p w14:paraId="7F971EF6">
            <w:pPr>
              <w:topLinePunct/>
              <w:spacing w:before="20" w:after="20" w:line="300" w:lineRule="auto"/>
              <w:jc w:val="center"/>
              <w:rPr>
                <w:rFonts w:ascii="Times New Roman" w:hAnsi="Times New Roman" w:eastAsia="宋体"/>
                <w:sz w:val="21"/>
              </w:rPr>
            </w:pPr>
            <w:r>
              <w:rPr>
                <w:rFonts w:ascii="Times New Roman" w:hAnsi="Times New Roman" w:eastAsia="宋体"/>
                <w:sz w:val="21"/>
              </w:rPr>
              <w:t>1</w:t>
            </w:r>
          </w:p>
        </w:tc>
      </w:tr>
      <w:tr w14:paraId="11266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vMerge w:val="continue"/>
            <w:noWrap w:val="0"/>
            <w:tcMar>
              <w:top w:w="0" w:type="dxa"/>
              <w:left w:w="57" w:type="dxa"/>
              <w:bottom w:w="0" w:type="dxa"/>
              <w:right w:w="57" w:type="dxa"/>
            </w:tcMar>
            <w:vAlign w:val="center"/>
          </w:tcPr>
          <w:p w14:paraId="1E059FE7">
            <w:pPr>
              <w:autoSpaceDE w:val="0"/>
              <w:autoSpaceDN w:val="0"/>
              <w:adjustRightInd w:val="0"/>
              <w:snapToGrid w:val="0"/>
              <w:spacing w:line="300" w:lineRule="exact"/>
              <w:jc w:val="center"/>
              <w:textAlignment w:val="baseline"/>
              <w:rPr>
                <w:rFonts w:ascii="Times New Roman" w:hAnsi="Times New Roman"/>
                <w:sz w:val="20"/>
                <w:szCs w:val="20"/>
              </w:rPr>
            </w:pPr>
          </w:p>
        </w:tc>
        <w:tc>
          <w:tcPr>
            <w:tcW w:w="3713" w:type="pct"/>
            <w:noWrap w:val="0"/>
            <w:tcMar>
              <w:top w:w="0" w:type="dxa"/>
              <w:left w:w="57" w:type="dxa"/>
              <w:bottom w:w="0" w:type="dxa"/>
              <w:right w:w="57" w:type="dxa"/>
            </w:tcMar>
            <w:vAlign w:val="center"/>
          </w:tcPr>
          <w:p w14:paraId="44F3EAA5">
            <w:pPr>
              <w:spacing w:before="20" w:after="20" w:line="300" w:lineRule="auto"/>
              <w:rPr>
                <w:rFonts w:ascii="Times New Roman" w:hAnsi="Times New Roman" w:eastAsia="宋体"/>
                <w:sz w:val="21"/>
              </w:rPr>
            </w:pPr>
            <w:r>
              <w:rPr>
                <w:rFonts w:hint="eastAsia" w:ascii="Times New Roman" w:hAnsi="Times New Roman" w:eastAsia="宋体"/>
                <w:sz w:val="21"/>
              </w:rPr>
              <w:t>3</w:t>
            </w:r>
            <w:r>
              <w:rPr>
                <w:rFonts w:ascii="Times New Roman" w:hAnsi="Times New Roman" w:eastAsia="宋体"/>
                <w:sz w:val="21"/>
              </w:rPr>
              <w:t>类</w:t>
            </w:r>
            <w:r>
              <w:rPr>
                <w:rFonts w:hint="eastAsia" w:ascii="Times New Roman" w:hAnsi="Times New Roman" w:eastAsia="宋体"/>
                <w:sz w:val="21"/>
              </w:rPr>
              <w:t>声环境</w:t>
            </w:r>
            <w:r>
              <w:rPr>
                <w:rFonts w:ascii="Times New Roman" w:hAnsi="Times New Roman" w:eastAsia="宋体"/>
                <w:sz w:val="21"/>
              </w:rPr>
              <w:t>功能区</w:t>
            </w:r>
          </w:p>
        </w:tc>
        <w:tc>
          <w:tcPr>
            <w:tcW w:w="590" w:type="pct"/>
            <w:noWrap w:val="0"/>
            <w:tcMar>
              <w:top w:w="0" w:type="dxa"/>
              <w:left w:w="57" w:type="dxa"/>
              <w:bottom w:w="0" w:type="dxa"/>
              <w:right w:w="57" w:type="dxa"/>
            </w:tcMar>
            <w:vAlign w:val="center"/>
          </w:tcPr>
          <w:p w14:paraId="2C08127C">
            <w:pPr>
              <w:topLinePunct/>
              <w:spacing w:before="20" w:after="20" w:line="300" w:lineRule="auto"/>
              <w:jc w:val="center"/>
              <w:rPr>
                <w:rFonts w:ascii="Times New Roman" w:hAnsi="Times New Roman" w:eastAsia="宋体"/>
                <w:sz w:val="21"/>
              </w:rPr>
            </w:pPr>
            <w:r>
              <w:rPr>
                <w:rFonts w:ascii="Times New Roman" w:hAnsi="Times New Roman" w:eastAsia="宋体"/>
                <w:sz w:val="21"/>
              </w:rPr>
              <w:t>2</w:t>
            </w:r>
          </w:p>
        </w:tc>
      </w:tr>
      <w:tr w14:paraId="67902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vMerge w:val="continue"/>
            <w:noWrap w:val="0"/>
            <w:tcMar>
              <w:top w:w="0" w:type="dxa"/>
              <w:left w:w="57" w:type="dxa"/>
              <w:bottom w:w="0" w:type="dxa"/>
              <w:right w:w="57" w:type="dxa"/>
            </w:tcMar>
            <w:vAlign w:val="center"/>
          </w:tcPr>
          <w:p w14:paraId="2259FDCC">
            <w:pPr>
              <w:autoSpaceDE w:val="0"/>
              <w:autoSpaceDN w:val="0"/>
              <w:adjustRightInd w:val="0"/>
              <w:snapToGrid w:val="0"/>
              <w:spacing w:line="300" w:lineRule="exact"/>
              <w:jc w:val="center"/>
              <w:textAlignment w:val="baseline"/>
              <w:rPr>
                <w:rFonts w:ascii="Times New Roman" w:hAnsi="Times New Roman"/>
                <w:sz w:val="20"/>
                <w:szCs w:val="20"/>
              </w:rPr>
            </w:pPr>
          </w:p>
        </w:tc>
        <w:tc>
          <w:tcPr>
            <w:tcW w:w="3713" w:type="pct"/>
            <w:noWrap w:val="0"/>
            <w:tcMar>
              <w:top w:w="0" w:type="dxa"/>
              <w:left w:w="57" w:type="dxa"/>
              <w:bottom w:w="0" w:type="dxa"/>
              <w:right w:w="57" w:type="dxa"/>
            </w:tcMar>
            <w:vAlign w:val="center"/>
          </w:tcPr>
          <w:p w14:paraId="61F09100">
            <w:pPr>
              <w:spacing w:before="20" w:after="20" w:line="300" w:lineRule="auto"/>
              <w:rPr>
                <w:rFonts w:ascii="Times New Roman" w:hAnsi="Times New Roman" w:eastAsia="宋体"/>
                <w:sz w:val="21"/>
              </w:rPr>
            </w:pPr>
            <w:r>
              <w:rPr>
                <w:rFonts w:hint="eastAsia" w:ascii="Times New Roman" w:hAnsi="Times New Roman" w:eastAsia="宋体"/>
                <w:sz w:val="21"/>
              </w:rPr>
              <w:t>2</w:t>
            </w:r>
            <w:r>
              <w:rPr>
                <w:rFonts w:ascii="Times New Roman" w:hAnsi="Times New Roman" w:eastAsia="宋体"/>
                <w:sz w:val="21"/>
              </w:rPr>
              <w:t>类</w:t>
            </w:r>
            <w:r>
              <w:rPr>
                <w:rFonts w:hint="eastAsia" w:ascii="Times New Roman" w:hAnsi="Times New Roman" w:eastAsia="宋体"/>
                <w:sz w:val="21"/>
              </w:rPr>
              <w:t>声环境</w:t>
            </w:r>
            <w:r>
              <w:rPr>
                <w:rFonts w:ascii="Times New Roman" w:hAnsi="Times New Roman" w:eastAsia="宋体"/>
                <w:sz w:val="21"/>
              </w:rPr>
              <w:t>功能区</w:t>
            </w:r>
          </w:p>
        </w:tc>
        <w:tc>
          <w:tcPr>
            <w:tcW w:w="590" w:type="pct"/>
            <w:noWrap w:val="0"/>
            <w:tcMar>
              <w:top w:w="0" w:type="dxa"/>
              <w:left w:w="57" w:type="dxa"/>
              <w:bottom w:w="0" w:type="dxa"/>
              <w:right w:w="57" w:type="dxa"/>
            </w:tcMar>
            <w:vAlign w:val="center"/>
          </w:tcPr>
          <w:p w14:paraId="3EA4F4D6">
            <w:pPr>
              <w:topLinePunct/>
              <w:spacing w:before="20" w:after="20" w:line="300" w:lineRule="auto"/>
              <w:jc w:val="center"/>
              <w:rPr>
                <w:rFonts w:ascii="Times New Roman" w:hAnsi="Times New Roman" w:eastAsia="宋体"/>
                <w:sz w:val="21"/>
              </w:rPr>
            </w:pPr>
            <w:r>
              <w:rPr>
                <w:rFonts w:ascii="Times New Roman" w:hAnsi="Times New Roman" w:eastAsia="宋体"/>
                <w:sz w:val="21"/>
              </w:rPr>
              <w:t>3</w:t>
            </w:r>
          </w:p>
        </w:tc>
      </w:tr>
      <w:tr w14:paraId="11BEC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vMerge w:val="continue"/>
            <w:noWrap w:val="0"/>
            <w:tcMar>
              <w:top w:w="0" w:type="dxa"/>
              <w:left w:w="57" w:type="dxa"/>
              <w:bottom w:w="0" w:type="dxa"/>
              <w:right w:w="57" w:type="dxa"/>
            </w:tcMar>
            <w:vAlign w:val="center"/>
          </w:tcPr>
          <w:p w14:paraId="1155EC23">
            <w:pPr>
              <w:autoSpaceDE w:val="0"/>
              <w:autoSpaceDN w:val="0"/>
              <w:adjustRightInd w:val="0"/>
              <w:snapToGrid w:val="0"/>
              <w:spacing w:line="300" w:lineRule="exact"/>
              <w:jc w:val="center"/>
              <w:textAlignment w:val="baseline"/>
              <w:rPr>
                <w:rFonts w:ascii="Times New Roman" w:hAnsi="Times New Roman"/>
                <w:sz w:val="20"/>
                <w:szCs w:val="20"/>
              </w:rPr>
            </w:pPr>
          </w:p>
        </w:tc>
        <w:tc>
          <w:tcPr>
            <w:tcW w:w="3713" w:type="pct"/>
            <w:noWrap w:val="0"/>
            <w:tcMar>
              <w:top w:w="0" w:type="dxa"/>
              <w:left w:w="57" w:type="dxa"/>
              <w:bottom w:w="0" w:type="dxa"/>
              <w:right w:w="57" w:type="dxa"/>
            </w:tcMar>
            <w:vAlign w:val="center"/>
          </w:tcPr>
          <w:p w14:paraId="01FFDF6A">
            <w:pPr>
              <w:spacing w:before="20" w:after="20" w:line="300" w:lineRule="auto"/>
              <w:rPr>
                <w:rFonts w:ascii="Times New Roman" w:hAnsi="Times New Roman" w:eastAsia="宋体"/>
                <w:sz w:val="21"/>
              </w:rPr>
            </w:pPr>
            <w:r>
              <w:rPr>
                <w:rFonts w:hint="eastAsia" w:ascii="Times New Roman" w:hAnsi="Times New Roman" w:eastAsia="宋体"/>
                <w:sz w:val="21"/>
              </w:rPr>
              <w:t>1</w:t>
            </w:r>
            <w:r>
              <w:rPr>
                <w:rFonts w:ascii="Times New Roman" w:hAnsi="Times New Roman" w:eastAsia="宋体"/>
                <w:sz w:val="21"/>
              </w:rPr>
              <w:t>类</w:t>
            </w:r>
            <w:r>
              <w:rPr>
                <w:rFonts w:hint="eastAsia" w:ascii="Times New Roman" w:hAnsi="Times New Roman" w:eastAsia="宋体"/>
                <w:sz w:val="21"/>
              </w:rPr>
              <w:t>声环境</w:t>
            </w:r>
            <w:r>
              <w:rPr>
                <w:rFonts w:ascii="Times New Roman" w:hAnsi="Times New Roman" w:eastAsia="宋体"/>
                <w:sz w:val="21"/>
              </w:rPr>
              <w:t>功能区</w:t>
            </w:r>
          </w:p>
        </w:tc>
        <w:tc>
          <w:tcPr>
            <w:tcW w:w="590" w:type="pct"/>
            <w:noWrap w:val="0"/>
            <w:tcMar>
              <w:top w:w="0" w:type="dxa"/>
              <w:left w:w="57" w:type="dxa"/>
              <w:bottom w:w="0" w:type="dxa"/>
              <w:right w:w="57" w:type="dxa"/>
            </w:tcMar>
            <w:vAlign w:val="center"/>
          </w:tcPr>
          <w:p w14:paraId="6088B37C">
            <w:pPr>
              <w:spacing w:before="20" w:after="20" w:line="300" w:lineRule="auto"/>
              <w:jc w:val="center"/>
              <w:rPr>
                <w:rFonts w:ascii="Times New Roman" w:hAnsi="Times New Roman" w:eastAsia="宋体"/>
                <w:sz w:val="21"/>
              </w:rPr>
            </w:pPr>
            <w:r>
              <w:rPr>
                <w:rFonts w:ascii="Times New Roman" w:hAnsi="Times New Roman" w:eastAsia="宋体"/>
                <w:sz w:val="21"/>
              </w:rPr>
              <w:t>4</w:t>
            </w:r>
          </w:p>
        </w:tc>
      </w:tr>
      <w:tr w14:paraId="3F411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vMerge w:val="continue"/>
            <w:noWrap w:val="0"/>
            <w:tcMar>
              <w:top w:w="0" w:type="dxa"/>
              <w:left w:w="57" w:type="dxa"/>
              <w:bottom w:w="0" w:type="dxa"/>
              <w:right w:w="57" w:type="dxa"/>
            </w:tcMar>
            <w:vAlign w:val="center"/>
          </w:tcPr>
          <w:p w14:paraId="735A9340">
            <w:pPr>
              <w:autoSpaceDE w:val="0"/>
              <w:autoSpaceDN w:val="0"/>
              <w:adjustRightInd w:val="0"/>
              <w:snapToGrid w:val="0"/>
              <w:spacing w:line="300" w:lineRule="exact"/>
              <w:jc w:val="center"/>
              <w:textAlignment w:val="baseline"/>
              <w:rPr>
                <w:rFonts w:ascii="Times New Roman" w:hAnsi="Times New Roman"/>
                <w:sz w:val="20"/>
                <w:szCs w:val="20"/>
              </w:rPr>
            </w:pPr>
          </w:p>
        </w:tc>
        <w:tc>
          <w:tcPr>
            <w:tcW w:w="3713" w:type="pct"/>
            <w:noWrap w:val="0"/>
            <w:tcMar>
              <w:top w:w="0" w:type="dxa"/>
              <w:left w:w="57" w:type="dxa"/>
              <w:bottom w:w="0" w:type="dxa"/>
              <w:right w:w="57" w:type="dxa"/>
            </w:tcMar>
            <w:vAlign w:val="center"/>
          </w:tcPr>
          <w:p w14:paraId="4197425C">
            <w:pPr>
              <w:spacing w:before="20" w:after="20" w:line="300" w:lineRule="auto"/>
              <w:rPr>
                <w:rFonts w:ascii="Times New Roman" w:hAnsi="Times New Roman" w:eastAsia="宋体"/>
                <w:sz w:val="21"/>
              </w:rPr>
            </w:pPr>
            <w:r>
              <w:rPr>
                <w:rFonts w:hint="eastAsia" w:ascii="Times New Roman" w:hAnsi="Times New Roman" w:eastAsia="宋体"/>
                <w:sz w:val="21"/>
              </w:rPr>
              <w:t>0</w:t>
            </w:r>
            <w:r>
              <w:rPr>
                <w:rFonts w:ascii="Times New Roman" w:hAnsi="Times New Roman" w:eastAsia="宋体"/>
                <w:sz w:val="21"/>
              </w:rPr>
              <w:t>类</w:t>
            </w:r>
            <w:r>
              <w:rPr>
                <w:rFonts w:hint="eastAsia" w:ascii="Times New Roman" w:hAnsi="Times New Roman" w:eastAsia="宋体"/>
                <w:sz w:val="21"/>
              </w:rPr>
              <w:t>声环境</w:t>
            </w:r>
            <w:r>
              <w:rPr>
                <w:rFonts w:ascii="Times New Roman" w:hAnsi="Times New Roman" w:eastAsia="宋体"/>
                <w:sz w:val="21"/>
              </w:rPr>
              <w:t>功能区</w:t>
            </w:r>
          </w:p>
        </w:tc>
        <w:tc>
          <w:tcPr>
            <w:tcW w:w="590" w:type="pct"/>
            <w:noWrap w:val="0"/>
            <w:tcMar>
              <w:top w:w="0" w:type="dxa"/>
              <w:left w:w="57" w:type="dxa"/>
              <w:bottom w:w="0" w:type="dxa"/>
              <w:right w:w="57" w:type="dxa"/>
            </w:tcMar>
            <w:vAlign w:val="center"/>
          </w:tcPr>
          <w:p w14:paraId="7626D107">
            <w:pPr>
              <w:spacing w:before="20" w:after="20" w:line="300" w:lineRule="auto"/>
              <w:jc w:val="center"/>
              <w:rPr>
                <w:rFonts w:ascii="Times New Roman" w:hAnsi="Times New Roman" w:eastAsia="宋体"/>
                <w:sz w:val="21"/>
              </w:rPr>
            </w:pPr>
            <w:r>
              <w:rPr>
                <w:rFonts w:ascii="Times New Roman" w:hAnsi="Times New Roman" w:eastAsia="宋体"/>
                <w:sz w:val="21"/>
              </w:rPr>
              <w:t>5</w:t>
            </w:r>
          </w:p>
        </w:tc>
      </w:tr>
      <w:tr w14:paraId="6EA20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vMerge w:val="restart"/>
            <w:noWrap w:val="0"/>
            <w:tcMar>
              <w:top w:w="0" w:type="dxa"/>
              <w:left w:w="57" w:type="dxa"/>
              <w:bottom w:w="0" w:type="dxa"/>
              <w:right w:w="57" w:type="dxa"/>
            </w:tcMar>
            <w:vAlign w:val="center"/>
          </w:tcPr>
          <w:p w14:paraId="286798F9">
            <w:pPr>
              <w:spacing w:before="20" w:after="20" w:line="300" w:lineRule="auto"/>
              <w:jc w:val="center"/>
              <w:rPr>
                <w:rFonts w:hint="eastAsia"/>
                <w:b/>
              </w:rPr>
            </w:pPr>
            <w:r>
              <w:rPr>
                <w:b/>
              </w:rPr>
              <w:t>固体</w:t>
            </w:r>
          </w:p>
          <w:p w14:paraId="7502A0F4">
            <w:pPr>
              <w:spacing w:before="20" w:after="20" w:line="300" w:lineRule="auto"/>
              <w:jc w:val="center"/>
              <w:rPr>
                <w:rFonts w:hint="eastAsia"/>
                <w:b/>
              </w:rPr>
            </w:pPr>
            <w:r>
              <w:rPr>
                <w:b/>
              </w:rPr>
              <w:t>废物类别</w:t>
            </w:r>
          </w:p>
        </w:tc>
        <w:tc>
          <w:tcPr>
            <w:tcW w:w="3713" w:type="pct"/>
            <w:noWrap w:val="0"/>
            <w:tcMar>
              <w:top w:w="0" w:type="dxa"/>
              <w:left w:w="57" w:type="dxa"/>
              <w:bottom w:w="0" w:type="dxa"/>
              <w:right w:w="57" w:type="dxa"/>
            </w:tcMar>
            <w:vAlign w:val="center"/>
          </w:tcPr>
          <w:p w14:paraId="6305872A">
            <w:pPr>
              <w:spacing w:before="20" w:after="20" w:line="300" w:lineRule="auto"/>
              <w:rPr>
                <w:rFonts w:ascii="Times New Roman" w:hAnsi="Times New Roman" w:eastAsia="宋体"/>
                <w:sz w:val="21"/>
              </w:rPr>
            </w:pPr>
            <w:r>
              <w:rPr>
                <w:rFonts w:hint="eastAsia" w:ascii="Times New Roman" w:hAnsi="Times New Roman" w:eastAsia="宋体"/>
                <w:sz w:val="21"/>
              </w:rPr>
              <w:t>第</w:t>
            </w:r>
            <w:r>
              <w:rPr>
                <w:rFonts w:ascii="Times New Roman" w:hAnsi="Times New Roman" w:eastAsia="宋体"/>
                <w:sz w:val="21"/>
              </w:rPr>
              <w:t>I类一般工业固体废物</w:t>
            </w:r>
          </w:p>
        </w:tc>
        <w:tc>
          <w:tcPr>
            <w:tcW w:w="590" w:type="pct"/>
            <w:noWrap w:val="0"/>
            <w:tcMar>
              <w:top w:w="0" w:type="dxa"/>
              <w:left w:w="57" w:type="dxa"/>
              <w:bottom w:w="0" w:type="dxa"/>
              <w:right w:w="57" w:type="dxa"/>
            </w:tcMar>
            <w:vAlign w:val="center"/>
          </w:tcPr>
          <w:p w14:paraId="0FB7317C">
            <w:pPr>
              <w:spacing w:before="20" w:after="20" w:line="300" w:lineRule="auto"/>
              <w:jc w:val="center"/>
              <w:rPr>
                <w:rFonts w:ascii="Times New Roman" w:hAnsi="Times New Roman" w:eastAsia="宋体"/>
                <w:sz w:val="21"/>
              </w:rPr>
            </w:pPr>
            <w:r>
              <w:rPr>
                <w:rFonts w:hint="eastAsia" w:ascii="Times New Roman" w:hAnsi="Times New Roman" w:eastAsia="宋体"/>
                <w:sz w:val="21"/>
              </w:rPr>
              <w:t>1</w:t>
            </w:r>
          </w:p>
        </w:tc>
      </w:tr>
      <w:tr w14:paraId="32E93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vMerge w:val="continue"/>
            <w:noWrap w:val="0"/>
            <w:tcMar>
              <w:top w:w="0" w:type="dxa"/>
              <w:left w:w="57" w:type="dxa"/>
              <w:bottom w:w="0" w:type="dxa"/>
              <w:right w:w="57" w:type="dxa"/>
            </w:tcMar>
            <w:vAlign w:val="center"/>
          </w:tcPr>
          <w:p w14:paraId="60EF3BED">
            <w:pPr>
              <w:topLinePunct/>
              <w:autoSpaceDE w:val="0"/>
              <w:autoSpaceDN w:val="0"/>
              <w:adjustRightInd w:val="0"/>
              <w:snapToGrid w:val="0"/>
              <w:spacing w:line="312" w:lineRule="exact"/>
              <w:jc w:val="center"/>
              <w:textAlignment w:val="baseline"/>
              <w:rPr>
                <w:rFonts w:ascii="Times New Roman" w:hAnsi="Times New Roman"/>
                <w:sz w:val="20"/>
                <w:szCs w:val="20"/>
              </w:rPr>
            </w:pPr>
          </w:p>
        </w:tc>
        <w:tc>
          <w:tcPr>
            <w:tcW w:w="3713" w:type="pct"/>
            <w:noWrap w:val="0"/>
            <w:tcMar>
              <w:top w:w="0" w:type="dxa"/>
              <w:left w:w="57" w:type="dxa"/>
              <w:bottom w:w="0" w:type="dxa"/>
              <w:right w:w="57" w:type="dxa"/>
            </w:tcMar>
            <w:vAlign w:val="center"/>
          </w:tcPr>
          <w:p w14:paraId="3439245C">
            <w:pPr>
              <w:spacing w:before="20" w:after="20" w:line="300" w:lineRule="auto"/>
              <w:rPr>
                <w:rFonts w:ascii="Times New Roman" w:hAnsi="Times New Roman" w:eastAsia="宋体"/>
                <w:sz w:val="21"/>
              </w:rPr>
            </w:pPr>
            <w:r>
              <w:rPr>
                <w:rFonts w:hint="eastAsia" w:ascii="Times New Roman" w:hAnsi="Times New Roman" w:eastAsia="宋体"/>
                <w:sz w:val="21"/>
              </w:rPr>
              <w:t>第Ⅱ类</w:t>
            </w:r>
            <w:r>
              <w:rPr>
                <w:rFonts w:ascii="Times New Roman" w:hAnsi="Times New Roman" w:eastAsia="宋体"/>
                <w:sz w:val="21"/>
              </w:rPr>
              <w:t>一般工业固体废物</w:t>
            </w:r>
          </w:p>
        </w:tc>
        <w:tc>
          <w:tcPr>
            <w:tcW w:w="590" w:type="pct"/>
            <w:noWrap w:val="0"/>
            <w:tcMar>
              <w:top w:w="0" w:type="dxa"/>
              <w:left w:w="57" w:type="dxa"/>
              <w:bottom w:w="0" w:type="dxa"/>
              <w:right w:w="57" w:type="dxa"/>
            </w:tcMar>
            <w:vAlign w:val="center"/>
          </w:tcPr>
          <w:p w14:paraId="0158EBD6">
            <w:pPr>
              <w:spacing w:before="20" w:after="20" w:line="300" w:lineRule="auto"/>
              <w:jc w:val="center"/>
              <w:rPr>
                <w:rFonts w:ascii="Times New Roman" w:hAnsi="Times New Roman" w:eastAsia="宋体"/>
                <w:sz w:val="21"/>
              </w:rPr>
            </w:pPr>
            <w:r>
              <w:rPr>
                <w:rFonts w:hint="eastAsia" w:ascii="Times New Roman" w:hAnsi="Times New Roman" w:eastAsia="宋体"/>
                <w:sz w:val="21"/>
              </w:rPr>
              <w:t>3</w:t>
            </w:r>
          </w:p>
        </w:tc>
      </w:tr>
      <w:tr w14:paraId="5BBCE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97" w:type="pct"/>
            <w:vMerge w:val="continue"/>
            <w:noWrap w:val="0"/>
            <w:tcMar>
              <w:top w:w="0" w:type="dxa"/>
              <w:left w:w="57" w:type="dxa"/>
              <w:bottom w:w="0" w:type="dxa"/>
              <w:right w:w="57" w:type="dxa"/>
            </w:tcMar>
            <w:vAlign w:val="center"/>
          </w:tcPr>
          <w:p w14:paraId="44B60F32">
            <w:pPr>
              <w:topLinePunct/>
              <w:autoSpaceDE w:val="0"/>
              <w:autoSpaceDN w:val="0"/>
              <w:adjustRightInd w:val="0"/>
              <w:snapToGrid w:val="0"/>
              <w:spacing w:line="312" w:lineRule="exact"/>
              <w:jc w:val="center"/>
              <w:textAlignment w:val="baseline"/>
              <w:rPr>
                <w:rFonts w:ascii="Times New Roman" w:hAnsi="Times New Roman"/>
                <w:sz w:val="20"/>
                <w:szCs w:val="20"/>
              </w:rPr>
            </w:pPr>
          </w:p>
        </w:tc>
        <w:tc>
          <w:tcPr>
            <w:tcW w:w="3713" w:type="pct"/>
            <w:noWrap w:val="0"/>
            <w:tcMar>
              <w:top w:w="0" w:type="dxa"/>
              <w:left w:w="57" w:type="dxa"/>
              <w:bottom w:w="0" w:type="dxa"/>
              <w:right w:w="57" w:type="dxa"/>
            </w:tcMar>
            <w:vAlign w:val="center"/>
          </w:tcPr>
          <w:p w14:paraId="5ADB7FE8">
            <w:pPr>
              <w:spacing w:before="20" w:after="20" w:line="300" w:lineRule="auto"/>
              <w:rPr>
                <w:rFonts w:ascii="Times New Roman" w:hAnsi="Times New Roman" w:eastAsia="宋体"/>
                <w:sz w:val="21"/>
              </w:rPr>
            </w:pPr>
            <w:r>
              <w:rPr>
                <w:rFonts w:hint="eastAsia" w:ascii="Times New Roman" w:hAnsi="Times New Roman" w:eastAsia="宋体"/>
                <w:sz w:val="21"/>
              </w:rPr>
              <w:t>危险废物、城镇污水处理设施产生的污泥和处理后的污泥</w:t>
            </w:r>
          </w:p>
        </w:tc>
        <w:tc>
          <w:tcPr>
            <w:tcW w:w="590" w:type="pct"/>
            <w:noWrap w:val="0"/>
            <w:tcMar>
              <w:top w:w="0" w:type="dxa"/>
              <w:left w:w="57" w:type="dxa"/>
              <w:bottom w:w="0" w:type="dxa"/>
              <w:right w:w="57" w:type="dxa"/>
            </w:tcMar>
            <w:vAlign w:val="center"/>
          </w:tcPr>
          <w:p w14:paraId="6F5F88FB">
            <w:pPr>
              <w:spacing w:before="20" w:after="20" w:line="300" w:lineRule="auto"/>
              <w:jc w:val="center"/>
              <w:rPr>
                <w:rFonts w:ascii="Times New Roman" w:hAnsi="Times New Roman" w:eastAsia="宋体"/>
                <w:sz w:val="21"/>
              </w:rPr>
            </w:pPr>
            <w:r>
              <w:rPr>
                <w:rFonts w:hint="eastAsia" w:ascii="Times New Roman" w:hAnsi="Times New Roman" w:eastAsia="宋体"/>
                <w:sz w:val="21"/>
              </w:rPr>
              <w:t>5</w:t>
            </w:r>
          </w:p>
        </w:tc>
      </w:tr>
    </w:tbl>
    <w:p w14:paraId="52F1190E">
      <w:pPr>
        <w:spacing w:before="40" w:after="40" w:line="400" w:lineRule="auto"/>
        <w:jc w:val="both"/>
        <w:rPr>
          <w:rFonts w:ascii="Times New Roman" w:hAnsi="Times New Roman" w:eastAsia="黑体"/>
          <w:b/>
          <w:sz w:val="24"/>
        </w:rPr>
      </w:pPr>
      <w:r>
        <w:rPr>
          <w:rFonts w:hint="eastAsia" w:ascii="Times New Roman" w:hAnsi="Times New Roman" w:eastAsia="黑体"/>
          <w:b/>
          <w:sz w:val="24"/>
        </w:rPr>
        <w:t>2</w:t>
      </w:r>
      <w:r>
        <w:rPr>
          <w:rFonts w:ascii="Times New Roman" w:hAnsi="Times New Roman" w:eastAsia="黑体"/>
          <w:b/>
          <w:sz w:val="24"/>
        </w:rPr>
        <w:t>.超过污染物排放标准或者超过重点污染物排放总量控制指标排放污染物的行为</w:t>
      </w:r>
    </w:p>
    <w:tbl>
      <w:tblPr>
        <w:tblStyle w:val="8"/>
        <w:tblW w:w="49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74"/>
        <w:gridCol w:w="6762"/>
        <w:gridCol w:w="1138"/>
      </w:tblGrid>
      <w:tr w14:paraId="695D4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noWrap w:val="0"/>
            <w:tcMar>
              <w:top w:w="0" w:type="dxa"/>
              <w:left w:w="57" w:type="dxa"/>
              <w:bottom w:w="0" w:type="dxa"/>
              <w:right w:w="57" w:type="dxa"/>
            </w:tcMar>
            <w:vAlign w:val="center"/>
          </w:tcPr>
          <w:p w14:paraId="5F33E37D">
            <w:pPr>
              <w:spacing w:before="20" w:after="20" w:line="300" w:lineRule="auto"/>
              <w:jc w:val="center"/>
              <w:rPr>
                <w:rFonts w:hint="eastAsia"/>
                <w:b/>
              </w:rPr>
            </w:pPr>
            <w:r>
              <w:rPr>
                <w:b/>
              </w:rPr>
              <w:t>违反条款</w:t>
            </w:r>
          </w:p>
        </w:tc>
        <w:tc>
          <w:tcPr>
            <w:tcW w:w="4353" w:type="pct"/>
            <w:gridSpan w:val="2"/>
            <w:noWrap w:val="0"/>
            <w:tcMar>
              <w:top w:w="0" w:type="dxa"/>
              <w:left w:w="57" w:type="dxa"/>
              <w:bottom w:w="0" w:type="dxa"/>
              <w:right w:w="57" w:type="dxa"/>
            </w:tcMar>
            <w:vAlign w:val="center"/>
          </w:tcPr>
          <w:p w14:paraId="2721B53F">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hint="eastAsia" w:ascii="宋体" w:hAnsi="宋体" w:eastAsia="宋体" w:cs="宋体"/>
                <w:kern w:val="0"/>
                <w:sz w:val="21"/>
                <w:szCs w:val="21"/>
              </w:rPr>
              <w:t>1.</w:t>
            </w:r>
            <w:r>
              <w:rPr>
                <w:rFonts w:ascii="宋体" w:hAnsi="宋体" w:eastAsia="宋体" w:cs="宋体"/>
                <w:kern w:val="0"/>
                <w:sz w:val="21"/>
                <w:szCs w:val="21"/>
              </w:rPr>
              <w:t>《中华人民共和国生态环境法典》第一百五十一条 排放污染物，应当符合污染物排放标准、重点污染物排放总量控制指标、排污许可管理和有关法律、法规、规章的要求。</w:t>
            </w:r>
          </w:p>
          <w:p w14:paraId="4EA661F2">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ascii="宋体" w:hAnsi="宋体" w:eastAsia="宋体" w:cs="宋体"/>
                <w:kern w:val="0"/>
                <w:sz w:val="21"/>
                <w:szCs w:val="21"/>
              </w:rPr>
              <w:t>第一百五十七条　企业事业单位应当遵守分解落实到本单位的重点污染物排放总量控制指标。</w:t>
            </w:r>
          </w:p>
          <w:p w14:paraId="0D9AB794">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ascii="宋体" w:hAnsi="宋体" w:eastAsia="宋体" w:cs="宋体"/>
                <w:kern w:val="0"/>
                <w:sz w:val="21"/>
                <w:szCs w:val="21"/>
              </w:rPr>
              <w:t>第三百零三条　向城镇污水集中处理设施排放水污染物，应当符合水污染物排放标准。</w:t>
            </w:r>
          </w:p>
          <w:p w14:paraId="46A2B903">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ascii="宋体" w:hAnsi="宋体" w:eastAsia="宋体" w:cs="宋体"/>
                <w:kern w:val="0"/>
                <w:sz w:val="21"/>
                <w:szCs w:val="21"/>
              </w:rPr>
              <w:t>第三百一十条　从事水产养殖活动应当保护水域生态环境，排放水产养殖尾水污染物等应当符合污染物排放标准，防止污染水环境。</w:t>
            </w:r>
          </w:p>
          <w:p w14:paraId="2ED1C95F">
            <w:pPr>
              <w:spacing w:before="20" w:after="20" w:line="300" w:lineRule="auto"/>
              <w:rPr>
                <w:rFonts w:hint="eastAsia" w:ascii="宋体" w:hAnsi="宋体" w:eastAsia="宋体" w:cs="宋体"/>
                <w:kern w:val="0"/>
                <w:sz w:val="21"/>
                <w:szCs w:val="21"/>
              </w:rPr>
            </w:pPr>
            <w:r>
              <w:rPr>
                <w:rFonts w:ascii="宋体" w:hAnsi="宋体" w:eastAsia="宋体" w:cs="宋体"/>
                <w:kern w:val="0"/>
                <w:sz w:val="21"/>
                <w:szCs w:val="21"/>
              </w:rPr>
              <w:t>第五百六十七条　排放工业噪声的企业事业单位和其他生产经营者，应当采取有效措施，减少振动、降低噪声。</w:t>
            </w:r>
          </w:p>
          <w:p w14:paraId="66C98398">
            <w:pPr>
              <w:spacing w:before="20" w:after="20" w:line="300" w:lineRule="auto"/>
              <w:rPr>
                <w:rFonts w:hint="eastAsia" w:ascii="宋体" w:hAnsi="宋体" w:eastAsia="宋体" w:cs="宋体"/>
                <w:b/>
                <w:bCs/>
                <w:kern w:val="0"/>
                <w:sz w:val="21"/>
                <w:szCs w:val="21"/>
              </w:rPr>
            </w:pPr>
            <w:r>
              <w:rPr>
                <w:rFonts w:hint="eastAsia" w:ascii="宋体" w:hAnsi="宋体" w:eastAsia="宋体" w:cs="宋体"/>
                <w:b/>
                <w:bCs/>
                <w:kern w:val="0"/>
                <w:sz w:val="21"/>
                <w:szCs w:val="21"/>
              </w:rPr>
              <w:t>2.《云南省滇池保护条例》</w:t>
            </w:r>
            <w:r>
              <w:rPr>
                <w:rFonts w:ascii="宋体" w:hAnsi="宋体" w:eastAsia="宋体" w:cs="宋体"/>
                <w:b/>
                <w:bCs/>
                <w:kern w:val="0"/>
                <w:sz w:val="21"/>
                <w:szCs w:val="21"/>
              </w:rPr>
              <w:t>（2026修订版）</w:t>
            </w:r>
            <w:r>
              <w:rPr>
                <w:rFonts w:hint="eastAsia" w:ascii="宋体" w:hAnsi="宋体" w:eastAsia="宋体" w:cs="宋体"/>
                <w:b/>
                <w:bCs/>
                <w:kern w:val="0"/>
                <w:sz w:val="21"/>
                <w:szCs w:val="21"/>
              </w:rPr>
              <w:t>第二十七条第六项 绿色发展区禁止下列行为：（六）超过水污染物排放标准或者超过重点水污染物排放总量控制指标排放水污染物。</w:t>
            </w:r>
          </w:p>
          <w:p w14:paraId="1234931A">
            <w:pPr>
              <w:tabs>
                <w:tab w:val="left" w:pos="3054"/>
              </w:tabs>
              <w:spacing w:before="20" w:after="20" w:line="300" w:lineRule="auto"/>
              <w:rPr>
                <w:rFonts w:hint="eastAsia" w:ascii="宋体" w:hAnsi="宋体" w:eastAsia="宋体"/>
                <w:b/>
                <w:bCs/>
                <w:color w:val="000000"/>
                <w:sz w:val="21"/>
                <w:szCs w:val="21"/>
              </w:rPr>
            </w:pPr>
            <w:r>
              <w:rPr>
                <w:rFonts w:hint="eastAsia" w:ascii="宋体" w:hAnsi="宋体" w:eastAsia="宋体"/>
                <w:b/>
                <w:bCs/>
                <w:color w:val="000000"/>
                <w:sz w:val="21"/>
                <w:szCs w:val="21"/>
              </w:rPr>
              <w:t>3</w:t>
            </w:r>
            <w:r>
              <w:rPr>
                <w:rFonts w:ascii="宋体" w:hAnsi="宋体" w:eastAsia="宋体"/>
                <w:b/>
                <w:bCs/>
                <w:color w:val="000000"/>
                <w:sz w:val="21"/>
                <w:szCs w:val="21"/>
              </w:rPr>
              <w:t>.《昆明市大气污染防治条例》（2026修订版）第四十五条第</w:t>
            </w:r>
            <w:r>
              <w:rPr>
                <w:rFonts w:hint="eastAsia" w:ascii="宋体" w:hAnsi="宋体" w:eastAsia="宋体"/>
                <w:b/>
                <w:bCs/>
                <w:color w:val="000000"/>
                <w:sz w:val="21"/>
                <w:szCs w:val="21"/>
              </w:rPr>
              <w:t>一</w:t>
            </w:r>
            <w:r>
              <w:rPr>
                <w:rFonts w:ascii="宋体" w:hAnsi="宋体" w:eastAsia="宋体"/>
                <w:b/>
                <w:bCs/>
                <w:color w:val="000000"/>
                <w:sz w:val="21"/>
                <w:szCs w:val="21"/>
              </w:rPr>
              <w:t>款</w:t>
            </w:r>
            <w:r>
              <w:rPr>
                <w:rFonts w:hint="eastAsia" w:ascii="宋体" w:hAnsi="宋体" w:eastAsia="宋体"/>
                <w:b/>
                <w:bCs/>
                <w:color w:val="000000"/>
                <w:sz w:val="21"/>
                <w:szCs w:val="21"/>
              </w:rPr>
              <w:t xml:space="preserve"> </w:t>
            </w:r>
            <w:r>
              <w:rPr>
                <w:rFonts w:ascii="宋体" w:hAnsi="宋体" w:eastAsia="宋体"/>
                <w:b/>
                <w:bCs/>
                <w:color w:val="000000"/>
                <w:sz w:val="21"/>
                <w:szCs w:val="21"/>
              </w:rPr>
              <w:t>排放油烟的餐饮服务业经营者应当安装油烟净化设施并保持正常使用，或者采取其他油烟净化措施，使油烟达标排放，并防止对附近居民的正常生活环境造成影响。</w:t>
            </w:r>
          </w:p>
          <w:p w14:paraId="2359FF42">
            <w:pPr>
              <w:spacing w:before="20" w:after="20" w:line="300" w:lineRule="auto"/>
              <w:rPr>
                <w:rFonts w:hint="eastAsia" w:ascii="宋体" w:hAnsi="宋体" w:eastAsia="宋体" w:cs="宋体"/>
                <w:kern w:val="0"/>
                <w:sz w:val="21"/>
                <w:szCs w:val="21"/>
              </w:rPr>
            </w:pPr>
            <w:r>
              <w:rPr>
                <w:rFonts w:hint="eastAsia" w:ascii="宋体" w:hAnsi="宋体" w:eastAsia="宋体"/>
                <w:b/>
                <w:bCs/>
                <w:sz w:val="21"/>
                <w:szCs w:val="21"/>
              </w:rPr>
              <w:t>4</w:t>
            </w:r>
            <w:r>
              <w:rPr>
                <w:rFonts w:ascii="宋体" w:hAnsi="宋体" w:eastAsia="宋体"/>
                <w:b/>
                <w:bCs/>
                <w:sz w:val="21"/>
                <w:szCs w:val="21"/>
              </w:rPr>
              <w:t>.《昆明市餐饮业环境污染防治管理办法》第十条</w:t>
            </w:r>
            <w:r>
              <w:rPr>
                <w:rFonts w:hint="eastAsia" w:ascii="宋体" w:hAnsi="宋体" w:eastAsia="宋体"/>
                <w:b/>
                <w:bCs/>
                <w:sz w:val="21"/>
                <w:szCs w:val="21"/>
              </w:rPr>
              <w:t xml:space="preserve"> </w:t>
            </w:r>
            <w:r>
              <w:rPr>
                <w:rFonts w:ascii="宋体" w:hAnsi="宋体" w:eastAsia="宋体"/>
                <w:b/>
                <w:bCs/>
                <w:sz w:val="21"/>
                <w:szCs w:val="21"/>
              </w:rPr>
              <w:t>餐饮业经营者排放油烟、废气的，应当按规范设置集气罩、排风管遒和排风机，并采取安装油烟净化没施等措施， 达到国家和地方大气污染物排放标准。严禁未通过专用烟道、油烟净化设施排放油烟，严禁向城镇排水设施排放油烟。</w:t>
            </w:r>
          </w:p>
        </w:tc>
      </w:tr>
      <w:tr w14:paraId="783B5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noWrap w:val="0"/>
            <w:tcMar>
              <w:top w:w="0" w:type="dxa"/>
              <w:left w:w="57" w:type="dxa"/>
              <w:bottom w:w="0" w:type="dxa"/>
              <w:right w:w="57" w:type="dxa"/>
            </w:tcMar>
            <w:vAlign w:val="center"/>
          </w:tcPr>
          <w:p w14:paraId="08677AF8">
            <w:pPr>
              <w:spacing w:before="20" w:after="20" w:line="300" w:lineRule="auto"/>
              <w:jc w:val="center"/>
              <w:rPr>
                <w:rFonts w:hint="eastAsia"/>
                <w:b/>
              </w:rPr>
            </w:pPr>
            <w:r>
              <w:rPr>
                <w:b/>
              </w:rPr>
              <w:t>处罚依据</w:t>
            </w:r>
          </w:p>
        </w:tc>
        <w:tc>
          <w:tcPr>
            <w:tcW w:w="4353" w:type="pct"/>
            <w:gridSpan w:val="2"/>
            <w:noWrap w:val="0"/>
            <w:tcMar>
              <w:top w:w="0" w:type="dxa"/>
              <w:left w:w="57" w:type="dxa"/>
              <w:bottom w:w="0" w:type="dxa"/>
              <w:right w:w="57" w:type="dxa"/>
            </w:tcMar>
            <w:vAlign w:val="center"/>
          </w:tcPr>
          <w:p w14:paraId="063AE50B">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hint="eastAsia" w:ascii="宋体" w:hAnsi="宋体" w:eastAsia="宋体" w:cs="宋体"/>
                <w:kern w:val="0"/>
                <w:sz w:val="21"/>
                <w:szCs w:val="21"/>
              </w:rPr>
              <w:t>1.</w:t>
            </w:r>
            <w:r>
              <w:rPr>
                <w:rFonts w:ascii="宋体" w:hAnsi="宋体" w:eastAsia="宋体" w:cs="宋体"/>
                <w:kern w:val="0"/>
                <w:sz w:val="21"/>
                <w:szCs w:val="21"/>
              </w:rPr>
              <w:t>《中华人民共和国生态环境法典》第一千一百零七条 违反本法规定，超过污染物排放标准或者超过重点污染物排放总量控制指标排放污染物的，由生态环境主管部门责令改正，处十万元以上一百万元以下的罚款，可以责令限制生产、停产整治；情节严重的，报经有批准权的人民政府批准，责令停业、关闭。其中，污染物为工业噪声的，罚款数额为二万元以上二十万元以下。</w:t>
            </w:r>
          </w:p>
          <w:p w14:paraId="1D3310EF">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ascii="宋体" w:hAnsi="宋体" w:eastAsia="宋体" w:cs="宋体"/>
                <w:kern w:val="0"/>
                <w:sz w:val="21"/>
                <w:szCs w:val="21"/>
              </w:rPr>
              <w:t>2.《云南省滇池保护条例》（2026修订版）第八十条第二款  违反本条例第二十七条第一项至第六项规定的，由生态环境主管部门依法查处。</w:t>
            </w:r>
          </w:p>
          <w:p w14:paraId="1D92713D">
            <w:pPr>
              <w:spacing w:before="20" w:after="20" w:line="300" w:lineRule="auto"/>
              <w:rPr>
                <w:rFonts w:hint="eastAsia" w:ascii="宋体" w:hAnsi="宋体" w:eastAsia="宋体"/>
                <w:b/>
                <w:bCs/>
                <w:color w:val="auto"/>
                <w:sz w:val="21"/>
                <w:szCs w:val="21"/>
              </w:rPr>
            </w:pPr>
            <w:r>
              <w:rPr>
                <w:rFonts w:hint="eastAsia" w:ascii="宋体" w:hAnsi="宋体" w:eastAsia="宋体"/>
                <w:b/>
                <w:bCs/>
                <w:color w:val="auto"/>
                <w:sz w:val="21"/>
                <w:szCs w:val="21"/>
              </w:rPr>
              <w:t>3</w:t>
            </w:r>
            <w:r>
              <w:rPr>
                <w:rFonts w:ascii="宋体" w:hAnsi="宋体" w:eastAsia="宋体"/>
                <w:b/>
                <w:bCs/>
                <w:color w:val="auto"/>
                <w:sz w:val="21"/>
                <w:szCs w:val="21"/>
              </w:rPr>
              <w:t>.《昆明市大气污染防治条例》（2026修订版）第</w:t>
            </w:r>
            <w:r>
              <w:rPr>
                <w:rFonts w:hint="eastAsia" w:ascii="宋体" w:hAnsi="宋体" w:eastAsia="宋体"/>
                <w:b/>
                <w:bCs/>
                <w:color w:val="auto"/>
                <w:sz w:val="21"/>
                <w:szCs w:val="21"/>
              </w:rPr>
              <w:t>五十六</w:t>
            </w:r>
            <w:r>
              <w:rPr>
                <w:rFonts w:ascii="宋体" w:hAnsi="宋体" w:eastAsia="宋体"/>
                <w:b/>
                <w:bCs/>
                <w:color w:val="auto"/>
                <w:sz w:val="21"/>
                <w:szCs w:val="21"/>
              </w:rPr>
              <w:t>条第</w:t>
            </w:r>
            <w:r>
              <w:rPr>
                <w:rFonts w:hint="eastAsia" w:ascii="宋体" w:hAnsi="宋体" w:eastAsia="宋体"/>
                <w:b/>
                <w:bCs/>
                <w:color w:val="auto"/>
                <w:sz w:val="21"/>
                <w:szCs w:val="21"/>
              </w:rPr>
              <w:t>一</w:t>
            </w:r>
            <w:r>
              <w:rPr>
                <w:rFonts w:ascii="宋体" w:hAnsi="宋体" w:eastAsia="宋体"/>
                <w:b/>
                <w:bCs/>
                <w:color w:val="auto"/>
                <w:sz w:val="21"/>
                <w:szCs w:val="21"/>
              </w:rPr>
              <w:t>款违反本条例规定，排放油烟的餐饮服务业经营者未安装油烟净化等污染防治设施、未保持正常使用油烟净化等污染防治设施，或者未采取其他油烟净化措施，致使超过排放标准排放油烟污染物的，由生态环境主管部门责令改正，处5000元以上5万元以下罚款；拒不改正的，责令停业整治。</w:t>
            </w:r>
          </w:p>
          <w:p w14:paraId="2D99BC9C">
            <w:pPr>
              <w:autoSpaceDE w:val="0"/>
              <w:autoSpaceDN w:val="0"/>
              <w:adjustRightInd w:val="0"/>
              <w:snapToGrid w:val="0"/>
              <w:spacing w:before="20" w:after="20" w:line="300" w:lineRule="auto"/>
              <w:jc w:val="both"/>
              <w:textAlignment w:val="baseline"/>
              <w:rPr>
                <w:rFonts w:hint="eastAsia" w:ascii="宋体" w:hAnsi="宋体" w:eastAsia="宋体" w:cs="宋体"/>
                <w:b/>
                <w:bCs/>
                <w:kern w:val="0"/>
                <w:sz w:val="21"/>
                <w:szCs w:val="21"/>
              </w:rPr>
            </w:pPr>
            <w:r>
              <w:rPr>
                <w:rFonts w:hint="eastAsia" w:ascii="宋体" w:hAnsi="宋体" w:eastAsia="宋体"/>
                <w:b/>
                <w:bCs/>
                <w:sz w:val="21"/>
                <w:szCs w:val="21"/>
              </w:rPr>
              <w:t>4</w:t>
            </w:r>
            <w:r>
              <w:rPr>
                <w:rFonts w:ascii="宋体" w:hAnsi="宋体" w:eastAsia="宋体"/>
                <w:b/>
                <w:bCs/>
                <w:sz w:val="21"/>
                <w:szCs w:val="21"/>
              </w:rPr>
              <w:t>.《昆明市餐饮业环境污染防治管理办法》第十</w:t>
            </w:r>
            <w:r>
              <w:rPr>
                <w:rFonts w:hint="eastAsia" w:ascii="宋体" w:hAnsi="宋体" w:eastAsia="宋体"/>
                <w:b/>
                <w:bCs/>
                <w:sz w:val="21"/>
                <w:szCs w:val="21"/>
              </w:rPr>
              <w:t>七</w:t>
            </w:r>
            <w:r>
              <w:rPr>
                <w:rFonts w:ascii="宋体" w:hAnsi="宋体" w:eastAsia="宋体"/>
                <w:b/>
                <w:bCs/>
                <w:sz w:val="21"/>
                <w:szCs w:val="21"/>
              </w:rPr>
              <w:t>条</w:t>
            </w:r>
            <w:r>
              <w:rPr>
                <w:rFonts w:hint="eastAsia" w:ascii="宋体" w:hAnsi="宋体" w:eastAsia="宋体"/>
                <w:b/>
                <w:bCs/>
                <w:sz w:val="21"/>
                <w:szCs w:val="21"/>
              </w:rPr>
              <w:t xml:space="preserve"> </w:t>
            </w:r>
            <w:r>
              <w:rPr>
                <w:rFonts w:ascii="宋体" w:hAnsi="宋体" w:eastAsia="宋体"/>
                <w:b/>
                <w:bCs/>
                <w:sz w:val="21"/>
                <w:szCs w:val="21"/>
              </w:rPr>
              <w:t>违反本办法第十条规定，未安装油烟净化设施、不正常使用油烟净化设施或者未釆取其它油烟净化措施，超标排放油烟污染物的，由县（市、区）生态环境行政主管部门责令改正，处5000元以上5万元以下罚款；拒不改正的，责令停业整治。</w:t>
            </w:r>
          </w:p>
        </w:tc>
      </w:tr>
      <w:tr w14:paraId="3F20C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noWrap w:val="0"/>
            <w:tcMar>
              <w:top w:w="0" w:type="dxa"/>
              <w:left w:w="57" w:type="dxa"/>
              <w:bottom w:w="0" w:type="dxa"/>
              <w:right w:w="57" w:type="dxa"/>
            </w:tcMar>
            <w:vAlign w:val="center"/>
          </w:tcPr>
          <w:p w14:paraId="0E5352D0">
            <w:pPr>
              <w:autoSpaceDE w:val="0"/>
              <w:autoSpaceDN w:val="0"/>
              <w:adjustRightInd w:val="0"/>
              <w:snapToGrid w:val="0"/>
              <w:spacing w:before="20" w:after="20" w:line="300" w:lineRule="auto"/>
              <w:jc w:val="center"/>
              <w:textAlignment w:val="baseline"/>
              <w:rPr>
                <w:rFonts w:hint="eastAsia" w:ascii="宋体" w:hAnsi="宋体" w:eastAsia="宋体" w:cs="宋体"/>
                <w:b/>
                <w:bCs/>
                <w:kern w:val="0"/>
                <w:sz w:val="21"/>
                <w:szCs w:val="21"/>
              </w:rPr>
            </w:pPr>
            <w:r>
              <w:rPr>
                <w:rFonts w:ascii="宋体" w:hAnsi="宋体" w:eastAsia="宋体" w:cs="宋体"/>
                <w:b/>
                <w:bCs/>
                <w:spacing w:val="7"/>
                <w:kern w:val="0"/>
                <w:sz w:val="21"/>
                <w:szCs w:val="21"/>
              </w:rPr>
              <w:t>裁量因素</w:t>
            </w:r>
          </w:p>
        </w:tc>
        <w:tc>
          <w:tcPr>
            <w:tcW w:w="3726" w:type="pct"/>
            <w:noWrap w:val="0"/>
            <w:tcMar>
              <w:top w:w="0" w:type="dxa"/>
              <w:left w:w="57" w:type="dxa"/>
              <w:bottom w:w="0" w:type="dxa"/>
              <w:right w:w="57" w:type="dxa"/>
            </w:tcMar>
            <w:vAlign w:val="center"/>
          </w:tcPr>
          <w:p w14:paraId="68F308AA">
            <w:pPr>
              <w:autoSpaceDE w:val="0"/>
              <w:autoSpaceDN w:val="0"/>
              <w:adjustRightInd w:val="0"/>
              <w:snapToGrid w:val="0"/>
              <w:spacing w:before="20" w:after="20" w:line="300" w:lineRule="auto"/>
              <w:jc w:val="center"/>
              <w:textAlignment w:val="baseline"/>
              <w:rPr>
                <w:rFonts w:hint="eastAsia" w:ascii="宋体" w:hAnsi="宋体" w:eastAsia="宋体" w:cs="宋体"/>
                <w:b/>
                <w:bCs/>
                <w:kern w:val="0"/>
                <w:sz w:val="21"/>
                <w:szCs w:val="21"/>
              </w:rPr>
            </w:pPr>
            <w:r>
              <w:rPr>
                <w:rFonts w:ascii="宋体" w:hAnsi="宋体" w:eastAsia="宋体" w:cs="宋体"/>
                <w:b/>
                <w:bCs/>
                <w:spacing w:val="7"/>
                <w:kern w:val="0"/>
                <w:sz w:val="21"/>
                <w:szCs w:val="21"/>
              </w:rPr>
              <w:t>裁量因子</w:t>
            </w:r>
          </w:p>
        </w:tc>
        <w:tc>
          <w:tcPr>
            <w:tcW w:w="626" w:type="pct"/>
            <w:noWrap w:val="0"/>
            <w:tcMar>
              <w:top w:w="0" w:type="dxa"/>
              <w:left w:w="57" w:type="dxa"/>
              <w:bottom w:w="0" w:type="dxa"/>
              <w:right w:w="57" w:type="dxa"/>
            </w:tcMar>
            <w:vAlign w:val="center"/>
          </w:tcPr>
          <w:p w14:paraId="3BFC89FC">
            <w:pPr>
              <w:autoSpaceDE w:val="0"/>
              <w:autoSpaceDN w:val="0"/>
              <w:adjustRightInd w:val="0"/>
              <w:snapToGrid w:val="0"/>
              <w:spacing w:before="20" w:after="20" w:line="300" w:lineRule="auto"/>
              <w:jc w:val="center"/>
              <w:textAlignment w:val="baseline"/>
              <w:rPr>
                <w:rFonts w:hint="eastAsia" w:ascii="宋体" w:hAnsi="宋体" w:eastAsia="宋体" w:cs="宋体"/>
                <w:b/>
                <w:bCs/>
                <w:kern w:val="0"/>
                <w:sz w:val="21"/>
                <w:szCs w:val="21"/>
              </w:rPr>
            </w:pPr>
            <w:r>
              <w:rPr>
                <w:rFonts w:ascii="宋体" w:hAnsi="宋体" w:eastAsia="宋体" w:cs="宋体"/>
                <w:b/>
                <w:bCs/>
                <w:spacing w:val="7"/>
                <w:kern w:val="0"/>
                <w:sz w:val="21"/>
                <w:szCs w:val="21"/>
              </w:rPr>
              <w:t>裁量等级</w:t>
            </w:r>
          </w:p>
        </w:tc>
      </w:tr>
      <w:tr w14:paraId="0A056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restart"/>
            <w:noWrap w:val="0"/>
            <w:tcMar>
              <w:top w:w="0" w:type="dxa"/>
              <w:left w:w="57" w:type="dxa"/>
              <w:bottom w:w="0" w:type="dxa"/>
              <w:right w:w="57" w:type="dxa"/>
            </w:tcMar>
            <w:vAlign w:val="center"/>
          </w:tcPr>
          <w:p w14:paraId="21AF6334">
            <w:pPr>
              <w:spacing w:before="20" w:after="20" w:line="300" w:lineRule="auto"/>
              <w:jc w:val="center"/>
              <w:rPr>
                <w:rFonts w:hint="eastAsia" w:ascii="宋体" w:hAnsi="宋体" w:eastAsia="宋体" w:cs="宋体"/>
                <w:kern w:val="0"/>
                <w:sz w:val="21"/>
                <w:szCs w:val="21"/>
              </w:rPr>
            </w:pPr>
            <w:r>
              <w:rPr>
                <w:b/>
              </w:rPr>
              <w:t>超标因子</w:t>
            </w:r>
          </w:p>
        </w:tc>
        <w:tc>
          <w:tcPr>
            <w:tcW w:w="3726" w:type="pct"/>
            <w:noWrap w:val="0"/>
            <w:tcMar>
              <w:top w:w="0" w:type="dxa"/>
              <w:left w:w="57" w:type="dxa"/>
              <w:bottom w:w="0" w:type="dxa"/>
              <w:right w:w="57" w:type="dxa"/>
            </w:tcMar>
            <w:vAlign w:val="center"/>
          </w:tcPr>
          <w:p w14:paraId="4973017E">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ascii="宋体" w:hAnsi="宋体" w:eastAsia="宋体" w:cs="宋体"/>
                <w:kern w:val="0"/>
                <w:sz w:val="21"/>
                <w:szCs w:val="21"/>
              </w:rPr>
              <w:t>1个</w:t>
            </w:r>
          </w:p>
        </w:tc>
        <w:tc>
          <w:tcPr>
            <w:tcW w:w="626" w:type="pct"/>
            <w:noWrap w:val="0"/>
            <w:tcMar>
              <w:top w:w="0" w:type="dxa"/>
              <w:left w:w="57" w:type="dxa"/>
              <w:bottom w:w="0" w:type="dxa"/>
              <w:right w:w="57" w:type="dxa"/>
            </w:tcMar>
            <w:vAlign w:val="center"/>
          </w:tcPr>
          <w:p w14:paraId="7A960E8E">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1</w:t>
            </w:r>
          </w:p>
        </w:tc>
      </w:tr>
      <w:tr w14:paraId="2C8C4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1CA2AED9">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0028E5D0">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ascii="宋体" w:hAnsi="宋体" w:eastAsia="宋体" w:cs="宋体"/>
                <w:kern w:val="0"/>
                <w:sz w:val="21"/>
                <w:szCs w:val="21"/>
              </w:rPr>
              <w:t>2个</w:t>
            </w:r>
          </w:p>
        </w:tc>
        <w:tc>
          <w:tcPr>
            <w:tcW w:w="626" w:type="pct"/>
            <w:noWrap w:val="0"/>
            <w:tcMar>
              <w:top w:w="0" w:type="dxa"/>
              <w:left w:w="57" w:type="dxa"/>
              <w:bottom w:w="0" w:type="dxa"/>
              <w:right w:w="57" w:type="dxa"/>
            </w:tcMar>
            <w:vAlign w:val="center"/>
          </w:tcPr>
          <w:p w14:paraId="641EE684">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3</w:t>
            </w:r>
          </w:p>
        </w:tc>
      </w:tr>
      <w:tr w14:paraId="44BB3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037F73DB">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4D624235">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ascii="宋体" w:hAnsi="宋体" w:eastAsia="宋体" w:cs="宋体"/>
                <w:kern w:val="0"/>
                <w:sz w:val="21"/>
                <w:szCs w:val="21"/>
              </w:rPr>
              <w:t>3个</w:t>
            </w:r>
          </w:p>
        </w:tc>
        <w:tc>
          <w:tcPr>
            <w:tcW w:w="626" w:type="pct"/>
            <w:noWrap w:val="0"/>
            <w:tcMar>
              <w:top w:w="0" w:type="dxa"/>
              <w:left w:w="57" w:type="dxa"/>
              <w:bottom w:w="0" w:type="dxa"/>
              <w:right w:w="57" w:type="dxa"/>
            </w:tcMar>
            <w:vAlign w:val="center"/>
          </w:tcPr>
          <w:p w14:paraId="0C7BFCEF">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spacing w:val="1"/>
                <w:kern w:val="0"/>
                <w:sz w:val="21"/>
                <w:szCs w:val="21"/>
              </w:rPr>
              <w:t>4</w:t>
            </w:r>
          </w:p>
        </w:tc>
      </w:tr>
      <w:tr w14:paraId="54AA2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534597FF">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332CF1BA">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ascii="宋体" w:hAnsi="宋体" w:eastAsia="宋体" w:cs="宋体"/>
                <w:kern w:val="0"/>
                <w:sz w:val="21"/>
                <w:szCs w:val="21"/>
              </w:rPr>
              <w:t>4个及以上</w:t>
            </w:r>
          </w:p>
        </w:tc>
        <w:tc>
          <w:tcPr>
            <w:tcW w:w="626" w:type="pct"/>
            <w:noWrap w:val="0"/>
            <w:tcMar>
              <w:top w:w="0" w:type="dxa"/>
              <w:left w:w="57" w:type="dxa"/>
              <w:bottom w:w="0" w:type="dxa"/>
              <w:right w:w="57" w:type="dxa"/>
            </w:tcMar>
            <w:vAlign w:val="center"/>
          </w:tcPr>
          <w:p w14:paraId="0680E962">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5</w:t>
            </w:r>
          </w:p>
        </w:tc>
      </w:tr>
      <w:tr w14:paraId="46AB0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restart"/>
            <w:noWrap w:val="0"/>
            <w:tcMar>
              <w:top w:w="0" w:type="dxa"/>
              <w:left w:w="57" w:type="dxa"/>
              <w:bottom w:w="0" w:type="dxa"/>
              <w:right w:w="57" w:type="dxa"/>
            </w:tcMar>
            <w:vAlign w:val="center"/>
          </w:tcPr>
          <w:p w14:paraId="1E808890">
            <w:pPr>
              <w:spacing w:before="20" w:after="20" w:line="300" w:lineRule="auto"/>
              <w:jc w:val="center"/>
              <w:rPr>
                <w:rFonts w:hint="eastAsia" w:ascii="宋体" w:hAnsi="宋体" w:eastAsia="宋体" w:cs="宋体"/>
                <w:kern w:val="0"/>
                <w:sz w:val="21"/>
                <w:szCs w:val="21"/>
              </w:rPr>
            </w:pPr>
            <w:r>
              <w:rPr>
                <w:b/>
              </w:rPr>
              <w:t>排放去向或区域</w:t>
            </w:r>
          </w:p>
        </w:tc>
        <w:tc>
          <w:tcPr>
            <w:tcW w:w="3726" w:type="pct"/>
            <w:noWrap w:val="0"/>
            <w:tcMar>
              <w:top w:w="0" w:type="dxa"/>
              <w:left w:w="57" w:type="dxa"/>
              <w:bottom w:w="0" w:type="dxa"/>
              <w:right w:w="57" w:type="dxa"/>
            </w:tcMar>
            <w:vAlign w:val="center"/>
          </w:tcPr>
          <w:p w14:paraId="4CC0B8B3">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ascii="宋体" w:hAnsi="宋体" w:eastAsia="宋体"/>
                <w:kern w:val="0"/>
                <w:sz w:val="21"/>
                <w:szCs w:val="21"/>
              </w:rPr>
              <w:t>环境空气二类功能区（特定化工园区）/V类水体或污</w:t>
            </w:r>
            <w:r>
              <w:rPr>
                <w:rFonts w:ascii="宋体" w:hAnsi="宋体" w:eastAsia="宋体"/>
                <w:spacing w:val="8"/>
                <w:kern w:val="0"/>
                <w:sz w:val="21"/>
                <w:szCs w:val="21"/>
              </w:rPr>
              <w:t>水集中处理设施</w:t>
            </w:r>
          </w:p>
        </w:tc>
        <w:tc>
          <w:tcPr>
            <w:tcW w:w="626" w:type="pct"/>
            <w:noWrap w:val="0"/>
            <w:tcMar>
              <w:top w:w="0" w:type="dxa"/>
              <w:left w:w="57" w:type="dxa"/>
              <w:bottom w:w="0" w:type="dxa"/>
              <w:right w:w="57" w:type="dxa"/>
            </w:tcMar>
            <w:vAlign w:val="center"/>
          </w:tcPr>
          <w:p w14:paraId="0DA87C40">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1</w:t>
            </w:r>
          </w:p>
        </w:tc>
      </w:tr>
      <w:tr w14:paraId="1033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61B0567E">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5C8161F9">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ascii="宋体" w:hAnsi="宋体" w:eastAsia="宋体"/>
                <w:kern w:val="0"/>
                <w:sz w:val="21"/>
                <w:szCs w:val="21"/>
              </w:rPr>
              <w:t>环境空气二类功能区（工业区）/Ⅳ类水体</w:t>
            </w:r>
          </w:p>
        </w:tc>
        <w:tc>
          <w:tcPr>
            <w:tcW w:w="626" w:type="pct"/>
            <w:noWrap w:val="0"/>
            <w:tcMar>
              <w:top w:w="0" w:type="dxa"/>
              <w:left w:w="57" w:type="dxa"/>
              <w:bottom w:w="0" w:type="dxa"/>
              <w:right w:w="57" w:type="dxa"/>
            </w:tcMar>
            <w:vAlign w:val="center"/>
          </w:tcPr>
          <w:p w14:paraId="230573C7">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2</w:t>
            </w:r>
          </w:p>
        </w:tc>
      </w:tr>
      <w:tr w14:paraId="3BBD5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3C9E9678">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54BF6370">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ascii="宋体" w:hAnsi="宋体" w:eastAsia="宋体"/>
                <w:kern w:val="0"/>
                <w:sz w:val="21"/>
                <w:szCs w:val="21"/>
              </w:rPr>
              <w:t>环境空气二类功能区（非工业区）/Ⅲ类水体</w:t>
            </w:r>
          </w:p>
        </w:tc>
        <w:tc>
          <w:tcPr>
            <w:tcW w:w="626" w:type="pct"/>
            <w:noWrap w:val="0"/>
            <w:tcMar>
              <w:top w:w="0" w:type="dxa"/>
              <w:left w:w="57" w:type="dxa"/>
              <w:bottom w:w="0" w:type="dxa"/>
              <w:right w:w="57" w:type="dxa"/>
            </w:tcMar>
            <w:vAlign w:val="center"/>
          </w:tcPr>
          <w:p w14:paraId="5FD9CB4A">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3</w:t>
            </w:r>
          </w:p>
        </w:tc>
      </w:tr>
      <w:tr w14:paraId="51383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637FCD21">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5EBA084B">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ascii="宋体" w:hAnsi="宋体" w:eastAsia="宋体"/>
                <w:kern w:val="0"/>
                <w:sz w:val="21"/>
                <w:szCs w:val="21"/>
              </w:rPr>
              <w:t>环境空气二类功能区（居住区）/I、Ⅱ类水体</w:t>
            </w:r>
          </w:p>
        </w:tc>
        <w:tc>
          <w:tcPr>
            <w:tcW w:w="626" w:type="pct"/>
            <w:noWrap w:val="0"/>
            <w:tcMar>
              <w:top w:w="0" w:type="dxa"/>
              <w:left w:w="57" w:type="dxa"/>
              <w:bottom w:w="0" w:type="dxa"/>
              <w:right w:w="57" w:type="dxa"/>
            </w:tcMar>
            <w:vAlign w:val="center"/>
          </w:tcPr>
          <w:p w14:paraId="76090739">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spacing w:val="1"/>
                <w:kern w:val="0"/>
                <w:sz w:val="21"/>
                <w:szCs w:val="21"/>
              </w:rPr>
              <w:t>4</w:t>
            </w:r>
          </w:p>
        </w:tc>
      </w:tr>
      <w:tr w14:paraId="07F72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1F04E4F9">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604C4A44">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ascii="宋体" w:hAnsi="宋体" w:eastAsia="宋体"/>
                <w:kern w:val="0"/>
                <w:sz w:val="21"/>
                <w:szCs w:val="21"/>
              </w:rPr>
              <w:t>环境空气一类功能区/饮用水水源地</w:t>
            </w:r>
          </w:p>
        </w:tc>
        <w:tc>
          <w:tcPr>
            <w:tcW w:w="626" w:type="pct"/>
            <w:noWrap w:val="0"/>
            <w:tcMar>
              <w:top w:w="0" w:type="dxa"/>
              <w:left w:w="57" w:type="dxa"/>
              <w:bottom w:w="0" w:type="dxa"/>
              <w:right w:w="57" w:type="dxa"/>
            </w:tcMar>
            <w:vAlign w:val="center"/>
          </w:tcPr>
          <w:p w14:paraId="0DF527BD">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5</w:t>
            </w:r>
          </w:p>
        </w:tc>
      </w:tr>
      <w:tr w14:paraId="28035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restart"/>
            <w:noWrap w:val="0"/>
            <w:tcMar>
              <w:top w:w="0" w:type="dxa"/>
              <w:left w:w="57" w:type="dxa"/>
              <w:bottom w:w="0" w:type="dxa"/>
              <w:right w:w="57" w:type="dxa"/>
            </w:tcMar>
            <w:vAlign w:val="center"/>
          </w:tcPr>
          <w:p w14:paraId="0D1D105A">
            <w:pPr>
              <w:spacing w:before="20" w:after="20" w:line="300" w:lineRule="auto"/>
              <w:jc w:val="center"/>
              <w:rPr>
                <w:rFonts w:hint="eastAsia" w:ascii="宋体" w:hAnsi="宋体" w:eastAsia="宋体" w:cs="宋体"/>
                <w:kern w:val="0"/>
                <w:sz w:val="21"/>
                <w:szCs w:val="21"/>
              </w:rPr>
            </w:pPr>
            <w:r>
              <w:rPr>
                <w:b/>
              </w:rPr>
              <w:t>污染物超标倍数</w:t>
            </w:r>
          </w:p>
        </w:tc>
        <w:tc>
          <w:tcPr>
            <w:tcW w:w="3726" w:type="pct"/>
            <w:noWrap w:val="0"/>
            <w:tcMar>
              <w:top w:w="0" w:type="dxa"/>
              <w:left w:w="57" w:type="dxa"/>
              <w:bottom w:w="0" w:type="dxa"/>
              <w:right w:w="57" w:type="dxa"/>
            </w:tcMar>
            <w:vAlign w:val="center"/>
          </w:tcPr>
          <w:p w14:paraId="4BC39C50">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ascii="宋体" w:hAnsi="宋体" w:eastAsia="宋体" w:cs="宋体"/>
                <w:kern w:val="0"/>
                <w:sz w:val="21"/>
                <w:szCs w:val="21"/>
              </w:rPr>
              <w:t>超标不足10%/林格曼黑度1级</w:t>
            </w:r>
          </w:p>
        </w:tc>
        <w:tc>
          <w:tcPr>
            <w:tcW w:w="626" w:type="pct"/>
            <w:noWrap w:val="0"/>
            <w:tcMar>
              <w:top w:w="0" w:type="dxa"/>
              <w:left w:w="57" w:type="dxa"/>
              <w:bottom w:w="0" w:type="dxa"/>
              <w:right w:w="57" w:type="dxa"/>
            </w:tcMar>
            <w:vAlign w:val="center"/>
          </w:tcPr>
          <w:p w14:paraId="240FDD22">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1</w:t>
            </w:r>
          </w:p>
        </w:tc>
      </w:tr>
      <w:tr w14:paraId="639A7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5B65B56E">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73E8B70F">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ascii="宋体" w:hAnsi="宋体" w:eastAsia="宋体" w:cs="宋体"/>
                <w:kern w:val="0"/>
                <w:sz w:val="21"/>
                <w:szCs w:val="21"/>
              </w:rPr>
              <w:t>超标10%以上不足50%/林格曼黑度2级</w:t>
            </w:r>
          </w:p>
        </w:tc>
        <w:tc>
          <w:tcPr>
            <w:tcW w:w="626" w:type="pct"/>
            <w:noWrap w:val="0"/>
            <w:tcMar>
              <w:top w:w="0" w:type="dxa"/>
              <w:left w:w="57" w:type="dxa"/>
              <w:bottom w:w="0" w:type="dxa"/>
              <w:right w:w="57" w:type="dxa"/>
            </w:tcMar>
            <w:vAlign w:val="center"/>
          </w:tcPr>
          <w:p w14:paraId="3430EF2C">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2</w:t>
            </w:r>
          </w:p>
        </w:tc>
      </w:tr>
      <w:tr w14:paraId="64EF4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1F822D59">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0A00E0F6">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ascii="宋体" w:hAnsi="宋体" w:eastAsia="宋体" w:cs="宋体"/>
                <w:kern w:val="0"/>
                <w:sz w:val="21"/>
                <w:szCs w:val="21"/>
              </w:rPr>
              <w:t>超标50%以上不足100%/林格曼黑度3级</w:t>
            </w:r>
          </w:p>
        </w:tc>
        <w:tc>
          <w:tcPr>
            <w:tcW w:w="626" w:type="pct"/>
            <w:noWrap w:val="0"/>
            <w:tcMar>
              <w:top w:w="0" w:type="dxa"/>
              <w:left w:w="57" w:type="dxa"/>
              <w:bottom w:w="0" w:type="dxa"/>
              <w:right w:w="57" w:type="dxa"/>
            </w:tcMar>
            <w:vAlign w:val="center"/>
          </w:tcPr>
          <w:p w14:paraId="01703871">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3</w:t>
            </w:r>
          </w:p>
        </w:tc>
      </w:tr>
      <w:tr w14:paraId="0B240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721EA168">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2A41AF8F">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ascii="宋体" w:hAnsi="宋体" w:eastAsia="宋体" w:cs="宋体"/>
                <w:kern w:val="0"/>
                <w:sz w:val="21"/>
                <w:szCs w:val="21"/>
              </w:rPr>
              <w:t>超标100%以上不足200%/林格曼黑度4级</w:t>
            </w:r>
          </w:p>
        </w:tc>
        <w:tc>
          <w:tcPr>
            <w:tcW w:w="626" w:type="pct"/>
            <w:noWrap w:val="0"/>
            <w:tcMar>
              <w:top w:w="0" w:type="dxa"/>
              <w:left w:w="57" w:type="dxa"/>
              <w:bottom w:w="0" w:type="dxa"/>
              <w:right w:w="57" w:type="dxa"/>
            </w:tcMar>
            <w:vAlign w:val="center"/>
          </w:tcPr>
          <w:p w14:paraId="47F85B38">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spacing w:val="1"/>
                <w:kern w:val="0"/>
                <w:sz w:val="21"/>
                <w:szCs w:val="21"/>
              </w:rPr>
              <w:t>4</w:t>
            </w:r>
          </w:p>
        </w:tc>
      </w:tr>
      <w:tr w14:paraId="70C7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2151E70F">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507D33D6">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ascii="宋体" w:hAnsi="宋体" w:eastAsia="宋体" w:cs="宋体"/>
                <w:kern w:val="0"/>
                <w:sz w:val="21"/>
                <w:szCs w:val="21"/>
              </w:rPr>
              <w:t>超标200%以上/林格曼黑度5级</w:t>
            </w:r>
          </w:p>
        </w:tc>
        <w:tc>
          <w:tcPr>
            <w:tcW w:w="626" w:type="pct"/>
            <w:noWrap w:val="0"/>
            <w:tcMar>
              <w:top w:w="0" w:type="dxa"/>
              <w:left w:w="57" w:type="dxa"/>
              <w:bottom w:w="0" w:type="dxa"/>
              <w:right w:w="57" w:type="dxa"/>
            </w:tcMar>
            <w:vAlign w:val="center"/>
          </w:tcPr>
          <w:p w14:paraId="10790C56">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5</w:t>
            </w:r>
          </w:p>
        </w:tc>
      </w:tr>
      <w:tr w14:paraId="630C4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restart"/>
            <w:noWrap w:val="0"/>
            <w:tcMar>
              <w:top w:w="0" w:type="dxa"/>
              <w:left w:w="57" w:type="dxa"/>
              <w:bottom w:w="0" w:type="dxa"/>
              <w:right w:w="57" w:type="dxa"/>
            </w:tcMar>
            <w:vAlign w:val="center"/>
          </w:tcPr>
          <w:p w14:paraId="4BC11C45">
            <w:pPr>
              <w:spacing w:before="20" w:after="20" w:line="300" w:lineRule="auto"/>
              <w:jc w:val="center"/>
              <w:rPr>
                <w:rFonts w:hint="eastAsia"/>
                <w:b/>
              </w:rPr>
            </w:pPr>
            <w:r>
              <w:rPr>
                <w:b/>
              </w:rPr>
              <w:t>废水类别</w:t>
            </w:r>
          </w:p>
        </w:tc>
        <w:tc>
          <w:tcPr>
            <w:tcW w:w="3726" w:type="pct"/>
            <w:noWrap w:val="0"/>
            <w:tcMar>
              <w:top w:w="0" w:type="dxa"/>
              <w:left w:w="57" w:type="dxa"/>
              <w:bottom w:w="0" w:type="dxa"/>
              <w:right w:w="57" w:type="dxa"/>
            </w:tcMar>
            <w:vAlign w:val="center"/>
          </w:tcPr>
          <w:p w14:paraId="20482478">
            <w:pPr>
              <w:autoSpaceDE w:val="0"/>
              <w:autoSpaceDN w:val="0"/>
              <w:adjustRightInd w:val="0"/>
              <w:snapToGrid w:val="0"/>
              <w:spacing w:before="20" w:after="20" w:line="300" w:lineRule="auto"/>
              <w:jc w:val="both"/>
              <w:textAlignment w:val="baseline"/>
              <w:rPr>
                <w:rFonts w:hint="eastAsia" w:ascii="宋体" w:hAnsi="宋体" w:eastAsia="宋体" w:cs="宋体"/>
                <w:strike/>
                <w:kern w:val="0"/>
                <w:sz w:val="21"/>
                <w:szCs w:val="21"/>
              </w:rPr>
            </w:pPr>
            <w:r>
              <w:rPr>
                <w:rFonts w:ascii="宋体" w:hAnsi="宋体" w:eastAsia="宋体" w:cs="宋体"/>
                <w:kern w:val="0"/>
                <w:sz w:val="21"/>
                <w:szCs w:val="21"/>
              </w:rPr>
              <w:t>生活污水</w:t>
            </w:r>
          </w:p>
        </w:tc>
        <w:tc>
          <w:tcPr>
            <w:tcW w:w="626" w:type="pct"/>
            <w:noWrap w:val="0"/>
            <w:tcMar>
              <w:top w:w="0" w:type="dxa"/>
              <w:left w:w="57" w:type="dxa"/>
              <w:bottom w:w="0" w:type="dxa"/>
              <w:right w:w="57" w:type="dxa"/>
            </w:tcMar>
            <w:vAlign w:val="center"/>
          </w:tcPr>
          <w:p w14:paraId="2DD5E7DD">
            <w:pPr>
              <w:autoSpaceDE w:val="0"/>
              <w:autoSpaceDN w:val="0"/>
              <w:adjustRightInd w:val="0"/>
              <w:snapToGrid w:val="0"/>
              <w:spacing w:before="20" w:after="20" w:line="300" w:lineRule="auto"/>
              <w:jc w:val="center"/>
              <w:textAlignment w:val="baseline"/>
              <w:rPr>
                <w:rFonts w:hint="eastAsia" w:ascii="宋体" w:hAnsi="宋体" w:eastAsia="宋体" w:cs="宋体"/>
                <w:strike/>
                <w:kern w:val="0"/>
                <w:sz w:val="21"/>
                <w:szCs w:val="21"/>
              </w:rPr>
            </w:pPr>
            <w:r>
              <w:rPr>
                <w:rFonts w:ascii="宋体" w:hAnsi="宋体" w:eastAsia="宋体" w:cs="宋体"/>
                <w:kern w:val="0"/>
                <w:sz w:val="21"/>
                <w:szCs w:val="21"/>
              </w:rPr>
              <w:t>1</w:t>
            </w:r>
          </w:p>
        </w:tc>
      </w:tr>
      <w:tr w14:paraId="4CB53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785B27D9">
            <w:pPr>
              <w:autoSpaceDE w:val="0"/>
              <w:autoSpaceDN w:val="0"/>
              <w:adjustRightInd w:val="0"/>
              <w:snapToGrid w:val="0"/>
              <w:spacing w:before="20" w:after="20" w:line="300" w:lineRule="auto"/>
              <w:jc w:val="center"/>
              <w:textAlignment w:val="baseline"/>
              <w:rPr>
                <w:rFonts w:hint="eastAsia" w:ascii="宋体" w:hAnsi="宋体" w:eastAsia="宋体" w:cs="宋体"/>
                <w:strike/>
                <w:kern w:val="0"/>
                <w:sz w:val="21"/>
                <w:szCs w:val="21"/>
              </w:rPr>
            </w:pPr>
          </w:p>
        </w:tc>
        <w:tc>
          <w:tcPr>
            <w:tcW w:w="3726" w:type="pct"/>
            <w:noWrap w:val="0"/>
            <w:tcMar>
              <w:top w:w="0" w:type="dxa"/>
              <w:left w:w="57" w:type="dxa"/>
              <w:bottom w:w="0" w:type="dxa"/>
              <w:right w:w="57" w:type="dxa"/>
            </w:tcMar>
            <w:vAlign w:val="center"/>
          </w:tcPr>
          <w:p w14:paraId="05D02608">
            <w:pPr>
              <w:autoSpaceDE w:val="0"/>
              <w:autoSpaceDN w:val="0"/>
              <w:adjustRightInd w:val="0"/>
              <w:snapToGrid w:val="0"/>
              <w:spacing w:before="20" w:after="20" w:line="300" w:lineRule="auto"/>
              <w:jc w:val="both"/>
              <w:textAlignment w:val="baseline"/>
              <w:rPr>
                <w:rFonts w:hint="eastAsia" w:ascii="宋体" w:hAnsi="宋体" w:eastAsia="宋体" w:cs="宋体"/>
                <w:strike/>
                <w:kern w:val="0"/>
                <w:sz w:val="21"/>
                <w:szCs w:val="21"/>
              </w:rPr>
            </w:pPr>
            <w:r>
              <w:rPr>
                <w:rFonts w:ascii="宋体" w:hAnsi="宋体" w:eastAsia="宋体" w:cs="宋体"/>
                <w:kern w:val="0"/>
                <w:sz w:val="21"/>
                <w:szCs w:val="21"/>
              </w:rPr>
              <w:t>服务业废水、畜禽散养养殖废水、水产养殖尾水</w:t>
            </w:r>
          </w:p>
        </w:tc>
        <w:tc>
          <w:tcPr>
            <w:tcW w:w="626" w:type="pct"/>
            <w:noWrap w:val="0"/>
            <w:tcMar>
              <w:top w:w="0" w:type="dxa"/>
              <w:left w:w="57" w:type="dxa"/>
              <w:bottom w:w="0" w:type="dxa"/>
              <w:right w:w="57" w:type="dxa"/>
            </w:tcMar>
            <w:vAlign w:val="center"/>
          </w:tcPr>
          <w:p w14:paraId="409403C7">
            <w:pPr>
              <w:autoSpaceDE w:val="0"/>
              <w:autoSpaceDN w:val="0"/>
              <w:adjustRightInd w:val="0"/>
              <w:snapToGrid w:val="0"/>
              <w:spacing w:before="20" w:after="20" w:line="300" w:lineRule="auto"/>
              <w:jc w:val="center"/>
              <w:textAlignment w:val="baseline"/>
              <w:rPr>
                <w:rFonts w:hint="eastAsia" w:ascii="宋体" w:hAnsi="宋体" w:eastAsia="宋体" w:cs="宋体"/>
                <w:strike/>
                <w:kern w:val="0"/>
                <w:sz w:val="21"/>
                <w:szCs w:val="21"/>
              </w:rPr>
            </w:pPr>
            <w:r>
              <w:rPr>
                <w:rFonts w:ascii="宋体" w:hAnsi="宋体" w:eastAsia="宋体" w:cs="宋体"/>
                <w:kern w:val="0"/>
                <w:sz w:val="21"/>
                <w:szCs w:val="21"/>
              </w:rPr>
              <w:t>2</w:t>
            </w:r>
          </w:p>
        </w:tc>
      </w:tr>
      <w:tr w14:paraId="5892D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1F9E8E90">
            <w:pPr>
              <w:autoSpaceDE w:val="0"/>
              <w:autoSpaceDN w:val="0"/>
              <w:adjustRightInd w:val="0"/>
              <w:snapToGrid w:val="0"/>
              <w:spacing w:before="20" w:after="20" w:line="300" w:lineRule="auto"/>
              <w:jc w:val="center"/>
              <w:textAlignment w:val="baseline"/>
              <w:rPr>
                <w:rFonts w:hint="eastAsia" w:ascii="宋体" w:hAnsi="宋体" w:eastAsia="宋体" w:cs="宋体"/>
                <w:strike/>
                <w:kern w:val="0"/>
                <w:sz w:val="21"/>
                <w:szCs w:val="21"/>
              </w:rPr>
            </w:pPr>
          </w:p>
        </w:tc>
        <w:tc>
          <w:tcPr>
            <w:tcW w:w="3726" w:type="pct"/>
            <w:noWrap w:val="0"/>
            <w:tcMar>
              <w:top w:w="0" w:type="dxa"/>
              <w:left w:w="57" w:type="dxa"/>
              <w:bottom w:w="0" w:type="dxa"/>
              <w:right w:w="57" w:type="dxa"/>
            </w:tcMar>
            <w:vAlign w:val="center"/>
          </w:tcPr>
          <w:p w14:paraId="64A83BD9">
            <w:pPr>
              <w:autoSpaceDE w:val="0"/>
              <w:autoSpaceDN w:val="0"/>
              <w:adjustRightInd w:val="0"/>
              <w:snapToGrid w:val="0"/>
              <w:spacing w:before="20" w:after="20" w:line="300" w:lineRule="auto"/>
              <w:jc w:val="both"/>
              <w:textAlignment w:val="baseline"/>
              <w:rPr>
                <w:rFonts w:hint="eastAsia" w:ascii="宋体" w:hAnsi="宋体" w:eastAsia="宋体" w:cs="宋体"/>
                <w:strike/>
                <w:kern w:val="0"/>
                <w:sz w:val="21"/>
                <w:szCs w:val="21"/>
              </w:rPr>
            </w:pPr>
            <w:r>
              <w:rPr>
                <w:rFonts w:ascii="宋体" w:hAnsi="宋体" w:eastAsia="宋体" w:cs="宋体"/>
                <w:kern w:val="0"/>
                <w:sz w:val="21"/>
                <w:szCs w:val="21"/>
              </w:rPr>
              <w:t>一般工业废水、规模化以上养殖企业养殖废水</w:t>
            </w:r>
          </w:p>
        </w:tc>
        <w:tc>
          <w:tcPr>
            <w:tcW w:w="626" w:type="pct"/>
            <w:noWrap w:val="0"/>
            <w:tcMar>
              <w:top w:w="0" w:type="dxa"/>
              <w:left w:w="57" w:type="dxa"/>
              <w:bottom w:w="0" w:type="dxa"/>
              <w:right w:w="57" w:type="dxa"/>
            </w:tcMar>
            <w:vAlign w:val="center"/>
          </w:tcPr>
          <w:p w14:paraId="521481CC">
            <w:pPr>
              <w:autoSpaceDE w:val="0"/>
              <w:autoSpaceDN w:val="0"/>
              <w:adjustRightInd w:val="0"/>
              <w:snapToGrid w:val="0"/>
              <w:spacing w:before="20" w:after="20" w:line="300" w:lineRule="auto"/>
              <w:jc w:val="center"/>
              <w:textAlignment w:val="baseline"/>
              <w:rPr>
                <w:rFonts w:hint="eastAsia" w:ascii="宋体" w:hAnsi="宋体" w:eastAsia="宋体" w:cs="宋体"/>
                <w:strike/>
                <w:kern w:val="0"/>
                <w:sz w:val="21"/>
                <w:szCs w:val="21"/>
              </w:rPr>
            </w:pPr>
            <w:r>
              <w:rPr>
                <w:rFonts w:ascii="宋体" w:hAnsi="宋体" w:eastAsia="宋体" w:cs="宋体"/>
                <w:kern w:val="0"/>
                <w:sz w:val="21"/>
                <w:szCs w:val="21"/>
              </w:rPr>
              <w:t>3</w:t>
            </w:r>
          </w:p>
        </w:tc>
      </w:tr>
      <w:tr w14:paraId="14832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76966C1B">
            <w:pPr>
              <w:autoSpaceDE w:val="0"/>
              <w:autoSpaceDN w:val="0"/>
              <w:adjustRightInd w:val="0"/>
              <w:snapToGrid w:val="0"/>
              <w:spacing w:before="20" w:after="20" w:line="300" w:lineRule="auto"/>
              <w:jc w:val="center"/>
              <w:textAlignment w:val="baseline"/>
              <w:rPr>
                <w:rFonts w:hint="eastAsia" w:ascii="宋体" w:hAnsi="宋体" w:eastAsia="宋体" w:cs="宋体"/>
                <w:strike/>
                <w:kern w:val="0"/>
                <w:sz w:val="21"/>
                <w:szCs w:val="21"/>
              </w:rPr>
            </w:pPr>
          </w:p>
        </w:tc>
        <w:tc>
          <w:tcPr>
            <w:tcW w:w="3726" w:type="pct"/>
            <w:noWrap w:val="0"/>
            <w:tcMar>
              <w:top w:w="0" w:type="dxa"/>
              <w:left w:w="57" w:type="dxa"/>
              <w:bottom w:w="0" w:type="dxa"/>
              <w:right w:w="57" w:type="dxa"/>
            </w:tcMar>
            <w:vAlign w:val="center"/>
          </w:tcPr>
          <w:p w14:paraId="16039593">
            <w:pPr>
              <w:autoSpaceDE w:val="0"/>
              <w:autoSpaceDN w:val="0"/>
              <w:adjustRightInd w:val="0"/>
              <w:snapToGrid w:val="0"/>
              <w:spacing w:before="20" w:after="20" w:line="300" w:lineRule="auto"/>
              <w:jc w:val="both"/>
              <w:textAlignment w:val="baseline"/>
              <w:rPr>
                <w:rFonts w:hint="eastAsia" w:ascii="宋体" w:hAnsi="宋体" w:eastAsia="宋体" w:cs="宋体"/>
                <w:strike/>
                <w:kern w:val="0"/>
                <w:sz w:val="21"/>
                <w:szCs w:val="21"/>
              </w:rPr>
            </w:pPr>
            <w:r>
              <w:rPr>
                <w:rFonts w:ascii="宋体" w:hAnsi="宋体" w:eastAsia="宋体" w:cs="宋体"/>
                <w:kern w:val="0"/>
                <w:sz w:val="21"/>
                <w:szCs w:val="21"/>
              </w:rPr>
              <w:t>含其他有毒有害污染物的废水、医疗废水</w:t>
            </w:r>
          </w:p>
        </w:tc>
        <w:tc>
          <w:tcPr>
            <w:tcW w:w="626" w:type="pct"/>
            <w:noWrap w:val="0"/>
            <w:tcMar>
              <w:top w:w="0" w:type="dxa"/>
              <w:left w:w="57" w:type="dxa"/>
              <w:bottom w:w="0" w:type="dxa"/>
              <w:right w:w="57" w:type="dxa"/>
            </w:tcMar>
            <w:vAlign w:val="center"/>
          </w:tcPr>
          <w:p w14:paraId="5144D485">
            <w:pPr>
              <w:autoSpaceDE w:val="0"/>
              <w:autoSpaceDN w:val="0"/>
              <w:adjustRightInd w:val="0"/>
              <w:snapToGrid w:val="0"/>
              <w:spacing w:before="20" w:after="20" w:line="300" w:lineRule="auto"/>
              <w:jc w:val="center"/>
              <w:textAlignment w:val="baseline"/>
              <w:rPr>
                <w:rFonts w:hint="eastAsia" w:ascii="宋体" w:hAnsi="宋体" w:eastAsia="宋体" w:cs="宋体"/>
                <w:strike/>
                <w:kern w:val="0"/>
                <w:sz w:val="21"/>
                <w:szCs w:val="21"/>
              </w:rPr>
            </w:pPr>
            <w:r>
              <w:rPr>
                <w:rFonts w:ascii="宋体" w:hAnsi="宋体" w:eastAsia="宋体" w:cs="宋体"/>
                <w:spacing w:val="1"/>
                <w:kern w:val="0"/>
                <w:sz w:val="21"/>
                <w:szCs w:val="21"/>
              </w:rPr>
              <w:t>4</w:t>
            </w:r>
          </w:p>
        </w:tc>
      </w:tr>
      <w:tr w14:paraId="491FD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35D23C3F">
            <w:pPr>
              <w:autoSpaceDE w:val="0"/>
              <w:autoSpaceDN w:val="0"/>
              <w:adjustRightInd w:val="0"/>
              <w:snapToGrid w:val="0"/>
              <w:spacing w:before="20" w:after="20" w:line="300" w:lineRule="auto"/>
              <w:jc w:val="center"/>
              <w:textAlignment w:val="baseline"/>
              <w:rPr>
                <w:rFonts w:hint="eastAsia" w:ascii="宋体" w:hAnsi="宋体" w:eastAsia="宋体" w:cs="宋体"/>
                <w:strike/>
                <w:kern w:val="0"/>
                <w:sz w:val="21"/>
                <w:szCs w:val="21"/>
              </w:rPr>
            </w:pPr>
          </w:p>
        </w:tc>
        <w:tc>
          <w:tcPr>
            <w:tcW w:w="3726" w:type="pct"/>
            <w:noWrap w:val="0"/>
            <w:tcMar>
              <w:top w:w="0" w:type="dxa"/>
              <w:left w:w="57" w:type="dxa"/>
              <w:bottom w:w="0" w:type="dxa"/>
              <w:right w:w="57" w:type="dxa"/>
            </w:tcMar>
            <w:vAlign w:val="center"/>
          </w:tcPr>
          <w:p w14:paraId="71AD90E3">
            <w:pPr>
              <w:autoSpaceDE w:val="0"/>
              <w:autoSpaceDN w:val="0"/>
              <w:adjustRightInd w:val="0"/>
              <w:snapToGrid w:val="0"/>
              <w:spacing w:before="20" w:after="20" w:line="300" w:lineRule="auto"/>
              <w:jc w:val="both"/>
              <w:textAlignment w:val="baseline"/>
              <w:rPr>
                <w:rFonts w:hint="eastAsia" w:ascii="宋体" w:hAnsi="宋体" w:eastAsia="宋体" w:cs="宋体"/>
                <w:strike/>
                <w:kern w:val="0"/>
                <w:sz w:val="21"/>
                <w:szCs w:val="21"/>
              </w:rPr>
            </w:pPr>
            <w:r>
              <w:rPr>
                <w:rFonts w:ascii="宋体" w:hAnsi="宋体" w:eastAsia="宋体" w:cs="宋体"/>
                <w:kern w:val="0"/>
                <w:sz w:val="21"/>
                <w:szCs w:val="21"/>
              </w:rPr>
              <w:t>含第一类污染物或重金属、病原体、放射性物</w:t>
            </w:r>
            <w:r>
              <w:rPr>
                <w:rFonts w:ascii="宋体" w:hAnsi="宋体" w:eastAsia="宋体" w:cs="宋体"/>
                <w:spacing w:val="7"/>
                <w:kern w:val="0"/>
                <w:sz w:val="21"/>
                <w:szCs w:val="21"/>
              </w:rPr>
              <w:t>质的废水</w:t>
            </w:r>
          </w:p>
        </w:tc>
        <w:tc>
          <w:tcPr>
            <w:tcW w:w="626" w:type="pct"/>
            <w:noWrap w:val="0"/>
            <w:tcMar>
              <w:top w:w="0" w:type="dxa"/>
              <w:left w:w="57" w:type="dxa"/>
              <w:bottom w:w="0" w:type="dxa"/>
              <w:right w:w="57" w:type="dxa"/>
            </w:tcMar>
            <w:vAlign w:val="center"/>
          </w:tcPr>
          <w:p w14:paraId="4B42B1E7">
            <w:pPr>
              <w:autoSpaceDE w:val="0"/>
              <w:autoSpaceDN w:val="0"/>
              <w:adjustRightInd w:val="0"/>
              <w:snapToGrid w:val="0"/>
              <w:spacing w:before="20" w:after="20" w:line="300" w:lineRule="auto"/>
              <w:jc w:val="center"/>
              <w:textAlignment w:val="baseline"/>
              <w:rPr>
                <w:rFonts w:hint="eastAsia" w:ascii="宋体" w:hAnsi="宋体" w:eastAsia="宋体" w:cs="宋体"/>
                <w:strike/>
                <w:kern w:val="0"/>
                <w:sz w:val="21"/>
                <w:szCs w:val="21"/>
              </w:rPr>
            </w:pPr>
            <w:r>
              <w:rPr>
                <w:rFonts w:ascii="宋体" w:hAnsi="宋体" w:eastAsia="宋体" w:cs="宋体"/>
                <w:kern w:val="0"/>
                <w:sz w:val="21"/>
                <w:szCs w:val="21"/>
              </w:rPr>
              <w:t>5</w:t>
            </w:r>
          </w:p>
        </w:tc>
      </w:tr>
      <w:tr w14:paraId="71244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restart"/>
            <w:noWrap w:val="0"/>
            <w:tcMar>
              <w:top w:w="0" w:type="dxa"/>
              <w:left w:w="57" w:type="dxa"/>
              <w:bottom w:w="0" w:type="dxa"/>
              <w:right w:w="57" w:type="dxa"/>
            </w:tcMar>
            <w:vAlign w:val="center"/>
          </w:tcPr>
          <w:p w14:paraId="2C13195D">
            <w:pPr>
              <w:spacing w:before="20" w:after="20" w:line="300" w:lineRule="auto"/>
              <w:jc w:val="center"/>
              <w:rPr>
                <w:rFonts w:hint="eastAsia" w:ascii="宋体" w:hAnsi="宋体" w:eastAsia="宋体" w:cs="宋体"/>
                <w:strike/>
                <w:kern w:val="0"/>
                <w:sz w:val="21"/>
                <w:szCs w:val="21"/>
              </w:rPr>
            </w:pPr>
            <w:r>
              <w:rPr>
                <w:b/>
              </w:rPr>
              <w:t>污水排放量（超标时段日均值）</w:t>
            </w:r>
          </w:p>
        </w:tc>
        <w:tc>
          <w:tcPr>
            <w:tcW w:w="3726" w:type="pct"/>
            <w:noWrap w:val="0"/>
            <w:tcMar>
              <w:top w:w="0" w:type="dxa"/>
              <w:left w:w="57" w:type="dxa"/>
              <w:bottom w:w="0" w:type="dxa"/>
              <w:right w:w="57" w:type="dxa"/>
            </w:tcMar>
            <w:vAlign w:val="center"/>
          </w:tcPr>
          <w:p w14:paraId="75E2DE92">
            <w:pPr>
              <w:autoSpaceDE w:val="0"/>
              <w:autoSpaceDN w:val="0"/>
              <w:adjustRightInd w:val="0"/>
              <w:snapToGrid w:val="0"/>
              <w:spacing w:before="20" w:after="20" w:line="300" w:lineRule="auto"/>
              <w:jc w:val="both"/>
              <w:textAlignment w:val="baseline"/>
              <w:rPr>
                <w:rFonts w:hint="eastAsia" w:ascii="宋体" w:hAnsi="宋体" w:eastAsia="宋体" w:cs="宋体"/>
                <w:snapToGrid w:val="0"/>
                <w:kern w:val="0"/>
                <w:sz w:val="21"/>
                <w:szCs w:val="21"/>
              </w:rPr>
            </w:pPr>
            <w:r>
              <w:rPr>
                <w:rFonts w:ascii="宋体" w:hAnsi="宋体" w:eastAsia="宋体" w:cs="宋体"/>
                <w:kern w:val="0"/>
                <w:sz w:val="21"/>
                <w:szCs w:val="21"/>
              </w:rPr>
              <w:t>不足5吨（一般排污单位）/不足1万吨（生活污水处理厂）/不足2000吨（工业污水处理厂）</w:t>
            </w:r>
          </w:p>
        </w:tc>
        <w:tc>
          <w:tcPr>
            <w:tcW w:w="626" w:type="pct"/>
            <w:noWrap w:val="0"/>
            <w:tcMar>
              <w:top w:w="0" w:type="dxa"/>
              <w:left w:w="57" w:type="dxa"/>
              <w:bottom w:w="0" w:type="dxa"/>
              <w:right w:w="57" w:type="dxa"/>
            </w:tcMar>
            <w:vAlign w:val="center"/>
          </w:tcPr>
          <w:p w14:paraId="36B3B20A">
            <w:pPr>
              <w:autoSpaceDE w:val="0"/>
              <w:autoSpaceDN w:val="0"/>
              <w:adjustRightInd w:val="0"/>
              <w:snapToGrid w:val="0"/>
              <w:spacing w:before="20" w:after="20" w:line="300" w:lineRule="auto"/>
              <w:jc w:val="center"/>
              <w:textAlignment w:val="baseline"/>
              <w:rPr>
                <w:rFonts w:hint="eastAsia" w:ascii="宋体" w:hAnsi="宋体" w:eastAsia="宋体" w:cs="宋体"/>
                <w:snapToGrid w:val="0"/>
                <w:kern w:val="0"/>
                <w:sz w:val="21"/>
                <w:szCs w:val="21"/>
                <w:lang w:eastAsia="en-US"/>
              </w:rPr>
            </w:pPr>
            <w:r>
              <w:rPr>
                <w:rFonts w:ascii="宋体" w:hAnsi="宋体" w:eastAsia="宋体" w:cs="宋体"/>
                <w:kern w:val="0"/>
                <w:sz w:val="21"/>
                <w:szCs w:val="21"/>
              </w:rPr>
              <w:t>1</w:t>
            </w:r>
          </w:p>
        </w:tc>
      </w:tr>
      <w:tr w14:paraId="4C42B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4CC704D6">
            <w:pPr>
              <w:autoSpaceDE w:val="0"/>
              <w:autoSpaceDN w:val="0"/>
              <w:adjustRightInd w:val="0"/>
              <w:snapToGrid w:val="0"/>
              <w:spacing w:before="20" w:after="20" w:line="300" w:lineRule="auto"/>
              <w:jc w:val="center"/>
              <w:textAlignment w:val="baseline"/>
              <w:rPr>
                <w:rFonts w:hint="eastAsia" w:ascii="宋体" w:hAnsi="宋体" w:eastAsia="宋体" w:cs="宋体"/>
                <w:strike/>
                <w:kern w:val="0"/>
                <w:sz w:val="21"/>
                <w:szCs w:val="21"/>
              </w:rPr>
            </w:pPr>
          </w:p>
        </w:tc>
        <w:tc>
          <w:tcPr>
            <w:tcW w:w="3726" w:type="pct"/>
            <w:noWrap w:val="0"/>
            <w:tcMar>
              <w:top w:w="0" w:type="dxa"/>
              <w:left w:w="57" w:type="dxa"/>
              <w:bottom w:w="0" w:type="dxa"/>
              <w:right w:w="57" w:type="dxa"/>
            </w:tcMar>
            <w:vAlign w:val="center"/>
          </w:tcPr>
          <w:p w14:paraId="73A179D7">
            <w:pPr>
              <w:autoSpaceDE w:val="0"/>
              <w:autoSpaceDN w:val="0"/>
              <w:adjustRightInd w:val="0"/>
              <w:snapToGrid w:val="0"/>
              <w:spacing w:before="20" w:after="20" w:line="300" w:lineRule="auto"/>
              <w:jc w:val="both"/>
              <w:textAlignment w:val="baseline"/>
              <w:rPr>
                <w:rFonts w:hint="eastAsia" w:ascii="宋体" w:hAnsi="宋体" w:eastAsia="宋体" w:cs="宋体"/>
                <w:snapToGrid w:val="0"/>
                <w:kern w:val="0"/>
                <w:sz w:val="21"/>
                <w:szCs w:val="21"/>
              </w:rPr>
            </w:pPr>
            <w:r>
              <w:rPr>
                <w:rFonts w:ascii="宋体" w:hAnsi="宋体" w:eastAsia="宋体" w:cs="宋体"/>
                <w:kern w:val="0"/>
                <w:sz w:val="21"/>
                <w:szCs w:val="21"/>
              </w:rPr>
              <w:t>5吨以上</w:t>
            </w:r>
            <w:r>
              <w:rPr>
                <w:rFonts w:ascii="宋体" w:hAnsi="宋体" w:eastAsia="宋体"/>
                <w:kern w:val="0"/>
                <w:sz w:val="21"/>
                <w:szCs w:val="21"/>
              </w:rPr>
              <w:t>不足</w:t>
            </w:r>
            <w:r>
              <w:rPr>
                <w:rFonts w:ascii="宋体" w:hAnsi="宋体" w:eastAsia="宋体" w:cs="宋体"/>
                <w:kern w:val="0"/>
                <w:sz w:val="21"/>
                <w:szCs w:val="21"/>
              </w:rPr>
              <w:t>30吨（一般排污单位）/1万吨以上</w:t>
            </w:r>
            <w:r>
              <w:rPr>
                <w:rFonts w:ascii="宋体" w:hAnsi="宋体" w:eastAsia="宋体"/>
                <w:kern w:val="0"/>
                <w:sz w:val="21"/>
                <w:szCs w:val="21"/>
              </w:rPr>
              <w:t>不足</w:t>
            </w:r>
            <w:r>
              <w:rPr>
                <w:rFonts w:ascii="宋体" w:hAnsi="宋体" w:eastAsia="宋体" w:cs="宋体"/>
                <w:kern w:val="0"/>
                <w:sz w:val="21"/>
                <w:szCs w:val="21"/>
              </w:rPr>
              <w:t>5万吨（生活污水处理厂）2000吨以上</w:t>
            </w:r>
            <w:r>
              <w:rPr>
                <w:rFonts w:ascii="宋体" w:hAnsi="宋体" w:eastAsia="宋体"/>
                <w:kern w:val="0"/>
                <w:sz w:val="21"/>
                <w:szCs w:val="21"/>
              </w:rPr>
              <w:t>不足</w:t>
            </w:r>
            <w:r>
              <w:rPr>
                <w:rFonts w:ascii="宋体" w:hAnsi="宋体" w:eastAsia="宋体" w:cs="宋体"/>
                <w:kern w:val="0"/>
                <w:sz w:val="21"/>
                <w:szCs w:val="21"/>
              </w:rPr>
              <w:t>5000吨（工业污水处理厂）</w:t>
            </w:r>
          </w:p>
        </w:tc>
        <w:tc>
          <w:tcPr>
            <w:tcW w:w="626" w:type="pct"/>
            <w:noWrap w:val="0"/>
            <w:tcMar>
              <w:top w:w="0" w:type="dxa"/>
              <w:left w:w="57" w:type="dxa"/>
              <w:bottom w:w="0" w:type="dxa"/>
              <w:right w:w="57" w:type="dxa"/>
            </w:tcMar>
            <w:vAlign w:val="center"/>
          </w:tcPr>
          <w:p w14:paraId="00E368CC">
            <w:pPr>
              <w:autoSpaceDE w:val="0"/>
              <w:autoSpaceDN w:val="0"/>
              <w:adjustRightInd w:val="0"/>
              <w:snapToGrid w:val="0"/>
              <w:spacing w:before="20" w:after="20" w:line="300" w:lineRule="auto"/>
              <w:jc w:val="center"/>
              <w:textAlignment w:val="baseline"/>
              <w:rPr>
                <w:rFonts w:hint="eastAsia" w:ascii="宋体" w:hAnsi="宋体" w:eastAsia="宋体" w:cs="宋体"/>
                <w:snapToGrid w:val="0"/>
                <w:kern w:val="0"/>
                <w:sz w:val="21"/>
                <w:szCs w:val="21"/>
                <w:lang w:eastAsia="en-US"/>
              </w:rPr>
            </w:pPr>
            <w:r>
              <w:rPr>
                <w:rFonts w:ascii="宋体" w:hAnsi="宋体" w:eastAsia="宋体" w:cs="宋体"/>
                <w:kern w:val="0"/>
                <w:sz w:val="21"/>
                <w:szCs w:val="21"/>
              </w:rPr>
              <w:t>2</w:t>
            </w:r>
          </w:p>
        </w:tc>
      </w:tr>
      <w:tr w14:paraId="33BB1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4F044B25">
            <w:pPr>
              <w:autoSpaceDE w:val="0"/>
              <w:autoSpaceDN w:val="0"/>
              <w:adjustRightInd w:val="0"/>
              <w:snapToGrid w:val="0"/>
              <w:spacing w:before="20" w:after="20" w:line="300" w:lineRule="auto"/>
              <w:jc w:val="center"/>
              <w:textAlignment w:val="baseline"/>
              <w:rPr>
                <w:rFonts w:hint="eastAsia" w:ascii="宋体" w:hAnsi="宋体" w:eastAsia="宋体" w:cs="宋体"/>
                <w:strike/>
                <w:kern w:val="0"/>
                <w:sz w:val="21"/>
                <w:szCs w:val="21"/>
              </w:rPr>
            </w:pPr>
          </w:p>
        </w:tc>
        <w:tc>
          <w:tcPr>
            <w:tcW w:w="3726" w:type="pct"/>
            <w:noWrap w:val="0"/>
            <w:tcMar>
              <w:top w:w="0" w:type="dxa"/>
              <w:left w:w="57" w:type="dxa"/>
              <w:bottom w:w="0" w:type="dxa"/>
              <w:right w:w="57" w:type="dxa"/>
            </w:tcMar>
            <w:vAlign w:val="center"/>
          </w:tcPr>
          <w:p w14:paraId="3997A641">
            <w:pPr>
              <w:autoSpaceDE w:val="0"/>
              <w:autoSpaceDN w:val="0"/>
              <w:adjustRightInd w:val="0"/>
              <w:snapToGrid w:val="0"/>
              <w:spacing w:before="20" w:after="20" w:line="300" w:lineRule="auto"/>
              <w:jc w:val="both"/>
              <w:textAlignment w:val="baseline"/>
              <w:rPr>
                <w:rFonts w:hint="eastAsia" w:ascii="宋体" w:hAnsi="宋体" w:eastAsia="宋体" w:cs="宋体"/>
                <w:snapToGrid w:val="0"/>
                <w:kern w:val="0"/>
                <w:sz w:val="21"/>
                <w:szCs w:val="21"/>
              </w:rPr>
            </w:pPr>
            <w:r>
              <w:rPr>
                <w:rFonts w:ascii="宋体" w:hAnsi="宋体" w:eastAsia="宋体" w:cs="宋体"/>
                <w:kern w:val="0"/>
                <w:sz w:val="21"/>
                <w:szCs w:val="21"/>
              </w:rPr>
              <w:t>30吨以上不足50吨（一般排污单位）/5万吨以上不足10万吨（生活污水处理厂）/5000吨以上不足1万吨（工业污水处理厂）</w:t>
            </w:r>
          </w:p>
        </w:tc>
        <w:tc>
          <w:tcPr>
            <w:tcW w:w="626" w:type="pct"/>
            <w:noWrap w:val="0"/>
            <w:tcMar>
              <w:top w:w="0" w:type="dxa"/>
              <w:left w:w="57" w:type="dxa"/>
              <w:bottom w:w="0" w:type="dxa"/>
              <w:right w:w="57" w:type="dxa"/>
            </w:tcMar>
            <w:vAlign w:val="center"/>
          </w:tcPr>
          <w:p w14:paraId="0B78BDC7">
            <w:pPr>
              <w:autoSpaceDE w:val="0"/>
              <w:autoSpaceDN w:val="0"/>
              <w:adjustRightInd w:val="0"/>
              <w:snapToGrid w:val="0"/>
              <w:spacing w:before="20" w:after="20" w:line="300" w:lineRule="auto"/>
              <w:jc w:val="center"/>
              <w:textAlignment w:val="baseline"/>
              <w:rPr>
                <w:rFonts w:hint="eastAsia" w:ascii="宋体" w:hAnsi="宋体" w:eastAsia="宋体" w:cs="宋体"/>
                <w:snapToGrid w:val="0"/>
                <w:kern w:val="0"/>
                <w:sz w:val="21"/>
                <w:szCs w:val="21"/>
                <w:lang w:eastAsia="en-US"/>
              </w:rPr>
            </w:pPr>
            <w:r>
              <w:rPr>
                <w:rFonts w:ascii="宋体" w:hAnsi="宋体" w:eastAsia="宋体" w:cs="宋体"/>
                <w:kern w:val="0"/>
                <w:sz w:val="21"/>
                <w:szCs w:val="21"/>
              </w:rPr>
              <w:t>3</w:t>
            </w:r>
          </w:p>
        </w:tc>
      </w:tr>
      <w:tr w14:paraId="3C708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55FC633C">
            <w:pPr>
              <w:autoSpaceDE w:val="0"/>
              <w:autoSpaceDN w:val="0"/>
              <w:adjustRightInd w:val="0"/>
              <w:snapToGrid w:val="0"/>
              <w:spacing w:before="20" w:after="20" w:line="300" w:lineRule="auto"/>
              <w:jc w:val="center"/>
              <w:textAlignment w:val="baseline"/>
              <w:rPr>
                <w:rFonts w:hint="eastAsia" w:ascii="宋体" w:hAnsi="宋体" w:eastAsia="宋体" w:cs="宋体"/>
                <w:strike/>
                <w:kern w:val="0"/>
                <w:sz w:val="21"/>
                <w:szCs w:val="21"/>
              </w:rPr>
            </w:pPr>
          </w:p>
        </w:tc>
        <w:tc>
          <w:tcPr>
            <w:tcW w:w="3726" w:type="pct"/>
            <w:noWrap w:val="0"/>
            <w:tcMar>
              <w:top w:w="0" w:type="dxa"/>
              <w:left w:w="57" w:type="dxa"/>
              <w:bottom w:w="0" w:type="dxa"/>
              <w:right w:w="57" w:type="dxa"/>
            </w:tcMar>
            <w:vAlign w:val="center"/>
          </w:tcPr>
          <w:p w14:paraId="3EFA9FA6">
            <w:pPr>
              <w:autoSpaceDE w:val="0"/>
              <w:autoSpaceDN w:val="0"/>
              <w:adjustRightInd w:val="0"/>
              <w:snapToGrid w:val="0"/>
              <w:spacing w:before="20" w:after="20" w:line="300" w:lineRule="auto"/>
              <w:jc w:val="both"/>
              <w:textAlignment w:val="baseline"/>
              <w:rPr>
                <w:rFonts w:hint="eastAsia" w:ascii="宋体" w:hAnsi="宋体" w:eastAsia="宋体" w:cs="宋体"/>
                <w:snapToGrid w:val="0"/>
                <w:kern w:val="0"/>
                <w:sz w:val="21"/>
                <w:szCs w:val="21"/>
              </w:rPr>
            </w:pPr>
            <w:r>
              <w:rPr>
                <w:rFonts w:ascii="宋体" w:hAnsi="宋体" w:eastAsia="宋体" w:cs="宋体"/>
                <w:kern w:val="0"/>
                <w:sz w:val="21"/>
                <w:szCs w:val="21"/>
              </w:rPr>
              <w:t>50吨以上</w:t>
            </w:r>
            <w:r>
              <w:rPr>
                <w:rFonts w:ascii="宋体" w:hAnsi="宋体" w:eastAsia="宋体"/>
                <w:kern w:val="0"/>
                <w:sz w:val="21"/>
                <w:szCs w:val="21"/>
              </w:rPr>
              <w:t>不足</w:t>
            </w:r>
            <w:r>
              <w:rPr>
                <w:rFonts w:ascii="宋体" w:hAnsi="宋体" w:eastAsia="宋体" w:cs="宋体"/>
                <w:kern w:val="0"/>
                <w:sz w:val="21"/>
                <w:szCs w:val="21"/>
              </w:rPr>
              <w:t>100吨（一般排污单位）/10万吨以上</w:t>
            </w:r>
            <w:r>
              <w:rPr>
                <w:rFonts w:ascii="宋体" w:hAnsi="宋体" w:eastAsia="宋体"/>
                <w:kern w:val="0"/>
                <w:sz w:val="21"/>
                <w:szCs w:val="21"/>
              </w:rPr>
              <w:t>不足</w:t>
            </w:r>
            <w:r>
              <w:rPr>
                <w:rFonts w:ascii="宋体" w:hAnsi="宋体" w:eastAsia="宋体" w:cs="宋体"/>
                <w:kern w:val="0"/>
                <w:sz w:val="21"/>
                <w:szCs w:val="21"/>
              </w:rPr>
              <w:t>30万吨（生活污水处理厂）/1万吨以上</w:t>
            </w:r>
            <w:r>
              <w:rPr>
                <w:rFonts w:ascii="宋体" w:hAnsi="宋体" w:eastAsia="宋体"/>
                <w:kern w:val="0"/>
                <w:sz w:val="21"/>
                <w:szCs w:val="21"/>
              </w:rPr>
              <w:t>不足</w:t>
            </w:r>
            <w:r>
              <w:rPr>
                <w:rFonts w:ascii="宋体" w:hAnsi="宋体" w:eastAsia="宋体" w:cs="宋体"/>
                <w:kern w:val="0"/>
                <w:sz w:val="21"/>
                <w:szCs w:val="21"/>
              </w:rPr>
              <w:t>5万吨（工业污水处理厂）</w:t>
            </w:r>
          </w:p>
        </w:tc>
        <w:tc>
          <w:tcPr>
            <w:tcW w:w="626" w:type="pct"/>
            <w:noWrap w:val="0"/>
            <w:tcMar>
              <w:top w:w="0" w:type="dxa"/>
              <w:left w:w="57" w:type="dxa"/>
              <w:bottom w:w="0" w:type="dxa"/>
              <w:right w:w="57" w:type="dxa"/>
            </w:tcMar>
            <w:vAlign w:val="center"/>
          </w:tcPr>
          <w:p w14:paraId="7975E270">
            <w:pPr>
              <w:autoSpaceDE w:val="0"/>
              <w:autoSpaceDN w:val="0"/>
              <w:adjustRightInd w:val="0"/>
              <w:snapToGrid w:val="0"/>
              <w:spacing w:before="20" w:after="20" w:line="300" w:lineRule="auto"/>
              <w:jc w:val="center"/>
              <w:textAlignment w:val="baseline"/>
              <w:rPr>
                <w:rFonts w:hint="eastAsia" w:ascii="宋体" w:hAnsi="宋体" w:eastAsia="宋体" w:cs="宋体"/>
                <w:snapToGrid w:val="0"/>
                <w:kern w:val="0"/>
                <w:sz w:val="21"/>
                <w:szCs w:val="21"/>
                <w:lang w:eastAsia="en-US"/>
              </w:rPr>
            </w:pPr>
            <w:r>
              <w:rPr>
                <w:rFonts w:ascii="宋体" w:hAnsi="宋体" w:eastAsia="宋体" w:cs="宋体"/>
                <w:spacing w:val="1"/>
                <w:kern w:val="0"/>
                <w:sz w:val="21"/>
                <w:szCs w:val="21"/>
              </w:rPr>
              <w:t>4</w:t>
            </w:r>
          </w:p>
        </w:tc>
      </w:tr>
      <w:tr w14:paraId="7CEB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44FEE214">
            <w:pPr>
              <w:autoSpaceDE w:val="0"/>
              <w:autoSpaceDN w:val="0"/>
              <w:adjustRightInd w:val="0"/>
              <w:snapToGrid w:val="0"/>
              <w:spacing w:before="20" w:after="20" w:line="300" w:lineRule="auto"/>
              <w:jc w:val="center"/>
              <w:textAlignment w:val="baseline"/>
              <w:rPr>
                <w:rFonts w:hint="eastAsia" w:ascii="宋体" w:hAnsi="宋体" w:eastAsia="宋体" w:cs="宋体"/>
                <w:strike/>
                <w:kern w:val="0"/>
                <w:sz w:val="21"/>
                <w:szCs w:val="21"/>
              </w:rPr>
            </w:pPr>
          </w:p>
        </w:tc>
        <w:tc>
          <w:tcPr>
            <w:tcW w:w="3726" w:type="pct"/>
            <w:noWrap w:val="0"/>
            <w:tcMar>
              <w:top w:w="0" w:type="dxa"/>
              <w:left w:w="57" w:type="dxa"/>
              <w:bottom w:w="0" w:type="dxa"/>
              <w:right w:w="57" w:type="dxa"/>
            </w:tcMar>
            <w:vAlign w:val="center"/>
          </w:tcPr>
          <w:p w14:paraId="3F84F395">
            <w:pPr>
              <w:autoSpaceDE w:val="0"/>
              <w:autoSpaceDN w:val="0"/>
              <w:adjustRightInd w:val="0"/>
              <w:snapToGrid w:val="0"/>
              <w:spacing w:before="20" w:after="20" w:line="300" w:lineRule="auto"/>
              <w:jc w:val="both"/>
              <w:textAlignment w:val="baseline"/>
              <w:rPr>
                <w:rFonts w:hint="eastAsia" w:ascii="宋体" w:hAnsi="宋体" w:eastAsia="宋体" w:cs="宋体"/>
                <w:snapToGrid w:val="0"/>
                <w:kern w:val="0"/>
                <w:sz w:val="21"/>
                <w:szCs w:val="21"/>
              </w:rPr>
            </w:pPr>
            <w:r>
              <w:rPr>
                <w:rFonts w:ascii="宋体" w:hAnsi="宋体" w:eastAsia="宋体" w:cs="宋体"/>
                <w:kern w:val="0"/>
                <w:sz w:val="21"/>
                <w:szCs w:val="21"/>
              </w:rPr>
              <w:t>100吨以上（一般排污单位）/30万吨以上（生活污水处理厂）/5万吨以上（工业污水处理厂）</w:t>
            </w:r>
          </w:p>
        </w:tc>
        <w:tc>
          <w:tcPr>
            <w:tcW w:w="626" w:type="pct"/>
            <w:noWrap w:val="0"/>
            <w:tcMar>
              <w:top w:w="0" w:type="dxa"/>
              <w:left w:w="57" w:type="dxa"/>
              <w:bottom w:w="0" w:type="dxa"/>
              <w:right w:w="57" w:type="dxa"/>
            </w:tcMar>
            <w:vAlign w:val="center"/>
          </w:tcPr>
          <w:p w14:paraId="0C089908">
            <w:pPr>
              <w:autoSpaceDE w:val="0"/>
              <w:autoSpaceDN w:val="0"/>
              <w:adjustRightInd w:val="0"/>
              <w:snapToGrid w:val="0"/>
              <w:spacing w:before="20" w:after="20" w:line="300" w:lineRule="auto"/>
              <w:jc w:val="center"/>
              <w:textAlignment w:val="baseline"/>
              <w:rPr>
                <w:rFonts w:hint="eastAsia" w:ascii="宋体" w:hAnsi="宋体" w:eastAsia="宋体" w:cs="宋体"/>
                <w:snapToGrid w:val="0"/>
                <w:kern w:val="0"/>
                <w:sz w:val="21"/>
                <w:szCs w:val="21"/>
                <w:lang w:eastAsia="en-US"/>
              </w:rPr>
            </w:pPr>
            <w:r>
              <w:rPr>
                <w:rFonts w:ascii="宋体" w:hAnsi="宋体" w:eastAsia="宋体" w:cs="宋体"/>
                <w:kern w:val="0"/>
                <w:sz w:val="21"/>
                <w:szCs w:val="21"/>
              </w:rPr>
              <w:t>5</w:t>
            </w:r>
          </w:p>
        </w:tc>
      </w:tr>
      <w:tr w14:paraId="57F92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restart"/>
            <w:noWrap w:val="0"/>
            <w:tcMar>
              <w:top w:w="0" w:type="dxa"/>
              <w:left w:w="57" w:type="dxa"/>
              <w:bottom w:w="0" w:type="dxa"/>
              <w:right w:w="57" w:type="dxa"/>
            </w:tcMar>
            <w:vAlign w:val="center"/>
          </w:tcPr>
          <w:p w14:paraId="19D7D31F">
            <w:pPr>
              <w:spacing w:before="20" w:after="20" w:line="300" w:lineRule="auto"/>
              <w:jc w:val="center"/>
              <w:rPr>
                <w:rFonts w:hint="eastAsia"/>
                <w:b/>
              </w:rPr>
            </w:pPr>
            <w:r>
              <w:rPr>
                <w:b/>
              </w:rPr>
              <w:t>废气类别</w:t>
            </w:r>
          </w:p>
        </w:tc>
        <w:tc>
          <w:tcPr>
            <w:tcW w:w="3726" w:type="pct"/>
            <w:noWrap w:val="0"/>
            <w:tcMar>
              <w:top w:w="0" w:type="dxa"/>
              <w:left w:w="57" w:type="dxa"/>
              <w:bottom w:w="0" w:type="dxa"/>
              <w:right w:w="57" w:type="dxa"/>
            </w:tcMar>
            <w:vAlign w:val="center"/>
          </w:tcPr>
          <w:p w14:paraId="20E46F65">
            <w:pPr>
              <w:autoSpaceDE w:val="0"/>
              <w:autoSpaceDN w:val="0"/>
              <w:adjustRightInd w:val="0"/>
              <w:snapToGrid w:val="0"/>
              <w:spacing w:before="20" w:after="20" w:line="300" w:lineRule="auto"/>
              <w:jc w:val="both"/>
              <w:textAlignment w:val="baseline"/>
              <w:rPr>
                <w:rFonts w:hint="eastAsia" w:ascii="宋体" w:hAnsi="宋体" w:eastAsia="宋体" w:cs="宋体"/>
                <w:snapToGrid w:val="0"/>
                <w:kern w:val="0"/>
                <w:sz w:val="21"/>
                <w:szCs w:val="21"/>
              </w:rPr>
            </w:pPr>
            <w:r>
              <w:rPr>
                <w:rFonts w:ascii="宋体" w:hAnsi="宋体" w:eastAsia="宋体" w:cs="宋体"/>
                <w:kern w:val="0"/>
                <w:sz w:val="21"/>
                <w:szCs w:val="21"/>
              </w:rPr>
              <w:t>餐饮油烟（经营）</w:t>
            </w:r>
          </w:p>
        </w:tc>
        <w:tc>
          <w:tcPr>
            <w:tcW w:w="626" w:type="pct"/>
            <w:noWrap w:val="0"/>
            <w:tcMar>
              <w:top w:w="0" w:type="dxa"/>
              <w:left w:w="57" w:type="dxa"/>
              <w:bottom w:w="0" w:type="dxa"/>
              <w:right w:w="57" w:type="dxa"/>
            </w:tcMar>
            <w:vAlign w:val="center"/>
          </w:tcPr>
          <w:p w14:paraId="5A76A50A">
            <w:pPr>
              <w:autoSpaceDE w:val="0"/>
              <w:autoSpaceDN w:val="0"/>
              <w:adjustRightInd w:val="0"/>
              <w:snapToGrid w:val="0"/>
              <w:spacing w:before="20" w:after="20" w:line="300" w:lineRule="auto"/>
              <w:jc w:val="center"/>
              <w:textAlignment w:val="baseline"/>
              <w:rPr>
                <w:rFonts w:hint="eastAsia" w:ascii="宋体" w:hAnsi="宋体" w:eastAsia="宋体" w:cs="宋体"/>
                <w:snapToGrid w:val="0"/>
                <w:kern w:val="0"/>
                <w:sz w:val="21"/>
                <w:szCs w:val="21"/>
                <w:lang w:eastAsia="en-US"/>
              </w:rPr>
            </w:pPr>
            <w:r>
              <w:rPr>
                <w:rFonts w:ascii="宋体" w:hAnsi="宋体" w:eastAsia="宋体" w:cs="宋体"/>
                <w:kern w:val="0"/>
                <w:sz w:val="21"/>
                <w:szCs w:val="21"/>
              </w:rPr>
              <w:t>1</w:t>
            </w:r>
          </w:p>
        </w:tc>
      </w:tr>
      <w:tr w14:paraId="07717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233DF1E2">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1F16A3E5">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ascii="宋体" w:hAnsi="宋体" w:eastAsia="宋体" w:cs="宋体"/>
                <w:kern w:val="0"/>
                <w:sz w:val="21"/>
                <w:szCs w:val="21"/>
              </w:rPr>
              <w:t>农业生产废气/畜禽养殖废气/工地扬尘/机械、汽车修理废气</w:t>
            </w:r>
          </w:p>
        </w:tc>
        <w:tc>
          <w:tcPr>
            <w:tcW w:w="626" w:type="pct"/>
            <w:noWrap w:val="0"/>
            <w:tcMar>
              <w:top w:w="0" w:type="dxa"/>
              <w:left w:w="57" w:type="dxa"/>
              <w:bottom w:w="0" w:type="dxa"/>
              <w:right w:w="57" w:type="dxa"/>
            </w:tcMar>
            <w:vAlign w:val="center"/>
          </w:tcPr>
          <w:p w14:paraId="46810F38">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2</w:t>
            </w:r>
          </w:p>
        </w:tc>
      </w:tr>
      <w:tr w14:paraId="238B9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47" w:type="pct"/>
            <w:vMerge w:val="continue"/>
            <w:noWrap w:val="0"/>
            <w:tcMar>
              <w:top w:w="0" w:type="dxa"/>
              <w:left w:w="57" w:type="dxa"/>
              <w:bottom w:w="0" w:type="dxa"/>
              <w:right w:w="57" w:type="dxa"/>
            </w:tcMar>
            <w:vAlign w:val="center"/>
          </w:tcPr>
          <w:p w14:paraId="4AEA9CDB">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002F2F4B">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ascii="宋体" w:hAnsi="宋体" w:eastAsia="宋体" w:cs="宋体"/>
                <w:kern w:val="0"/>
                <w:sz w:val="21"/>
                <w:szCs w:val="21"/>
              </w:rPr>
              <w:t>一般工业废气/含恶臭污染物的废气（除畜禽养殖废气）/医疗废气/实验室废气</w:t>
            </w:r>
          </w:p>
        </w:tc>
        <w:tc>
          <w:tcPr>
            <w:tcW w:w="626" w:type="pct"/>
            <w:noWrap w:val="0"/>
            <w:tcMar>
              <w:top w:w="0" w:type="dxa"/>
              <w:left w:w="57" w:type="dxa"/>
              <w:bottom w:w="0" w:type="dxa"/>
              <w:right w:w="57" w:type="dxa"/>
            </w:tcMar>
            <w:vAlign w:val="center"/>
          </w:tcPr>
          <w:p w14:paraId="1AD47D17">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3</w:t>
            </w:r>
          </w:p>
        </w:tc>
      </w:tr>
      <w:tr w14:paraId="3D9F2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4F9D976F">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5131C3BE">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ascii="宋体" w:hAnsi="宋体" w:eastAsia="宋体" w:cs="宋体"/>
                <w:kern w:val="0"/>
                <w:sz w:val="21"/>
                <w:szCs w:val="21"/>
              </w:rPr>
              <w:t>火电、钢铁、石化、水泥、炼焦、有色、化工废气、烟尘/燃煤锅炉废气、烟尘</w:t>
            </w:r>
          </w:p>
        </w:tc>
        <w:tc>
          <w:tcPr>
            <w:tcW w:w="626" w:type="pct"/>
            <w:noWrap w:val="0"/>
            <w:tcMar>
              <w:top w:w="0" w:type="dxa"/>
              <w:left w:w="57" w:type="dxa"/>
              <w:bottom w:w="0" w:type="dxa"/>
              <w:right w:w="57" w:type="dxa"/>
            </w:tcMar>
            <w:vAlign w:val="center"/>
          </w:tcPr>
          <w:p w14:paraId="62058A00">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spacing w:val="1"/>
                <w:kern w:val="0"/>
                <w:sz w:val="21"/>
                <w:szCs w:val="21"/>
              </w:rPr>
              <w:t>4</w:t>
            </w:r>
          </w:p>
        </w:tc>
      </w:tr>
      <w:tr w14:paraId="1A718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43DF9483">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4F628C9F">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ascii="宋体" w:hAnsi="宋体" w:eastAsia="宋体" w:cs="宋体"/>
                <w:kern w:val="0"/>
                <w:sz w:val="21"/>
                <w:szCs w:val="21"/>
              </w:rPr>
              <w:t>含其他有毒有害物质的废气</w:t>
            </w:r>
          </w:p>
        </w:tc>
        <w:tc>
          <w:tcPr>
            <w:tcW w:w="626" w:type="pct"/>
            <w:noWrap w:val="0"/>
            <w:tcMar>
              <w:top w:w="0" w:type="dxa"/>
              <w:left w:w="57" w:type="dxa"/>
              <w:bottom w:w="0" w:type="dxa"/>
              <w:right w:w="57" w:type="dxa"/>
            </w:tcMar>
            <w:vAlign w:val="center"/>
          </w:tcPr>
          <w:p w14:paraId="32E686A6">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5</w:t>
            </w:r>
          </w:p>
        </w:tc>
      </w:tr>
      <w:tr w14:paraId="18B9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restart"/>
            <w:noWrap w:val="0"/>
            <w:tcMar>
              <w:top w:w="0" w:type="dxa"/>
              <w:left w:w="57" w:type="dxa"/>
              <w:bottom w:w="0" w:type="dxa"/>
              <w:right w:w="57" w:type="dxa"/>
            </w:tcMar>
            <w:vAlign w:val="center"/>
          </w:tcPr>
          <w:p w14:paraId="585D98ED">
            <w:pPr>
              <w:spacing w:before="20" w:after="20" w:line="300" w:lineRule="auto"/>
              <w:jc w:val="center"/>
              <w:rPr>
                <w:rFonts w:hint="eastAsia"/>
                <w:b/>
              </w:rPr>
            </w:pPr>
            <w:r>
              <w:rPr>
                <w:b/>
              </w:rPr>
              <w:t>烟气流量（超标时段小时平均值）</w:t>
            </w:r>
          </w:p>
        </w:tc>
        <w:tc>
          <w:tcPr>
            <w:tcW w:w="3726" w:type="pct"/>
            <w:noWrap w:val="0"/>
            <w:tcMar>
              <w:top w:w="0" w:type="dxa"/>
              <w:left w:w="57" w:type="dxa"/>
              <w:bottom w:w="0" w:type="dxa"/>
              <w:right w:w="57" w:type="dxa"/>
            </w:tcMar>
            <w:vAlign w:val="center"/>
          </w:tcPr>
          <w:p w14:paraId="78E7CB38">
            <w:pPr>
              <w:autoSpaceDE w:val="0"/>
              <w:autoSpaceDN w:val="0"/>
              <w:adjustRightInd w:val="0"/>
              <w:snapToGrid w:val="0"/>
              <w:spacing w:before="20" w:after="20" w:line="300" w:lineRule="auto"/>
              <w:jc w:val="both"/>
              <w:textAlignment w:val="baseline"/>
              <w:rPr>
                <w:rFonts w:hint="eastAsia" w:ascii="宋体" w:hAnsi="宋体" w:eastAsia="宋体" w:cs="宋体"/>
                <w:snapToGrid w:val="0"/>
                <w:kern w:val="0"/>
                <w:sz w:val="21"/>
                <w:szCs w:val="21"/>
              </w:rPr>
            </w:pPr>
            <w:r>
              <w:rPr>
                <w:rFonts w:ascii="宋体" w:hAnsi="宋体" w:eastAsia="宋体"/>
                <w:spacing w:val="7"/>
                <w:kern w:val="0"/>
                <w:sz w:val="21"/>
                <w:szCs w:val="21"/>
              </w:rPr>
              <w:t>不足</w:t>
            </w:r>
            <w:r>
              <w:rPr>
                <w:rFonts w:ascii="宋体" w:hAnsi="宋体" w:eastAsia="宋体" w:cs="宋体"/>
                <w:kern w:val="0"/>
                <w:sz w:val="21"/>
                <w:szCs w:val="21"/>
              </w:rPr>
              <w:t>1000标立</w:t>
            </w:r>
          </w:p>
        </w:tc>
        <w:tc>
          <w:tcPr>
            <w:tcW w:w="626" w:type="pct"/>
            <w:noWrap w:val="0"/>
            <w:tcMar>
              <w:top w:w="0" w:type="dxa"/>
              <w:left w:w="57" w:type="dxa"/>
              <w:bottom w:w="0" w:type="dxa"/>
              <w:right w:w="57" w:type="dxa"/>
            </w:tcMar>
            <w:vAlign w:val="center"/>
          </w:tcPr>
          <w:p w14:paraId="6A37C183">
            <w:pPr>
              <w:autoSpaceDE w:val="0"/>
              <w:autoSpaceDN w:val="0"/>
              <w:adjustRightInd w:val="0"/>
              <w:snapToGrid w:val="0"/>
              <w:spacing w:before="20" w:after="20" w:line="300" w:lineRule="auto"/>
              <w:jc w:val="center"/>
              <w:textAlignment w:val="baseline"/>
              <w:rPr>
                <w:rFonts w:hint="eastAsia" w:ascii="宋体" w:hAnsi="宋体" w:eastAsia="宋体" w:cs="宋体"/>
                <w:snapToGrid w:val="0"/>
                <w:kern w:val="0"/>
                <w:sz w:val="21"/>
                <w:szCs w:val="21"/>
                <w:lang w:eastAsia="en-US"/>
              </w:rPr>
            </w:pPr>
            <w:r>
              <w:rPr>
                <w:rFonts w:ascii="宋体" w:hAnsi="宋体" w:eastAsia="宋体" w:cs="宋体"/>
                <w:kern w:val="0"/>
                <w:sz w:val="21"/>
                <w:szCs w:val="21"/>
              </w:rPr>
              <w:t>1</w:t>
            </w:r>
          </w:p>
        </w:tc>
      </w:tr>
      <w:tr w14:paraId="2B10D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519509CE">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10640EDD">
            <w:pPr>
              <w:autoSpaceDE w:val="0"/>
              <w:autoSpaceDN w:val="0"/>
              <w:adjustRightInd w:val="0"/>
              <w:snapToGrid w:val="0"/>
              <w:spacing w:before="20" w:after="20" w:line="300" w:lineRule="auto"/>
              <w:jc w:val="both"/>
              <w:textAlignment w:val="baseline"/>
              <w:rPr>
                <w:rFonts w:hint="eastAsia" w:ascii="宋体" w:hAnsi="宋体" w:eastAsia="宋体" w:cs="宋体"/>
                <w:snapToGrid w:val="0"/>
                <w:kern w:val="0"/>
                <w:sz w:val="21"/>
                <w:szCs w:val="21"/>
              </w:rPr>
            </w:pPr>
            <w:r>
              <w:rPr>
                <w:rFonts w:ascii="宋体" w:hAnsi="宋体" w:eastAsia="宋体" w:cs="宋体"/>
                <w:kern w:val="0"/>
                <w:sz w:val="21"/>
                <w:szCs w:val="21"/>
              </w:rPr>
              <w:t>1000标立以上</w:t>
            </w:r>
            <w:r>
              <w:rPr>
                <w:rFonts w:ascii="宋体" w:hAnsi="宋体" w:eastAsia="宋体"/>
                <w:spacing w:val="7"/>
                <w:kern w:val="0"/>
                <w:sz w:val="21"/>
                <w:szCs w:val="21"/>
              </w:rPr>
              <w:t>不足</w:t>
            </w:r>
            <w:r>
              <w:rPr>
                <w:rFonts w:ascii="宋体" w:hAnsi="宋体" w:eastAsia="宋体" w:cs="宋体"/>
                <w:kern w:val="0"/>
                <w:sz w:val="21"/>
                <w:szCs w:val="21"/>
              </w:rPr>
              <w:t>1万标立</w:t>
            </w:r>
          </w:p>
        </w:tc>
        <w:tc>
          <w:tcPr>
            <w:tcW w:w="626" w:type="pct"/>
            <w:noWrap w:val="0"/>
            <w:tcMar>
              <w:top w:w="0" w:type="dxa"/>
              <w:left w:w="57" w:type="dxa"/>
              <w:bottom w:w="0" w:type="dxa"/>
              <w:right w:w="57" w:type="dxa"/>
            </w:tcMar>
            <w:vAlign w:val="center"/>
          </w:tcPr>
          <w:p w14:paraId="2CA5DCFB">
            <w:pPr>
              <w:autoSpaceDE w:val="0"/>
              <w:autoSpaceDN w:val="0"/>
              <w:adjustRightInd w:val="0"/>
              <w:snapToGrid w:val="0"/>
              <w:spacing w:before="20" w:after="20" w:line="300" w:lineRule="auto"/>
              <w:jc w:val="center"/>
              <w:textAlignment w:val="baseline"/>
              <w:rPr>
                <w:rFonts w:hint="eastAsia" w:ascii="宋体" w:hAnsi="宋体" w:eastAsia="宋体" w:cs="宋体"/>
                <w:snapToGrid w:val="0"/>
                <w:kern w:val="0"/>
                <w:sz w:val="21"/>
                <w:szCs w:val="21"/>
                <w:lang w:eastAsia="en-US"/>
              </w:rPr>
            </w:pPr>
            <w:r>
              <w:rPr>
                <w:rFonts w:ascii="宋体" w:hAnsi="宋体" w:eastAsia="宋体" w:cs="宋体"/>
                <w:kern w:val="0"/>
                <w:sz w:val="21"/>
                <w:szCs w:val="21"/>
              </w:rPr>
              <w:t>2</w:t>
            </w:r>
          </w:p>
        </w:tc>
      </w:tr>
      <w:tr w14:paraId="09891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6E866DA3">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5C7ED618">
            <w:pPr>
              <w:autoSpaceDE w:val="0"/>
              <w:autoSpaceDN w:val="0"/>
              <w:adjustRightInd w:val="0"/>
              <w:snapToGrid w:val="0"/>
              <w:spacing w:before="20" w:after="20" w:line="300" w:lineRule="auto"/>
              <w:jc w:val="both"/>
              <w:textAlignment w:val="baseline"/>
              <w:rPr>
                <w:rFonts w:hint="eastAsia" w:ascii="宋体" w:hAnsi="宋体" w:eastAsia="宋体" w:cs="宋体"/>
                <w:snapToGrid w:val="0"/>
                <w:kern w:val="0"/>
                <w:sz w:val="21"/>
                <w:szCs w:val="21"/>
              </w:rPr>
            </w:pPr>
            <w:r>
              <w:rPr>
                <w:rFonts w:ascii="宋体" w:hAnsi="宋体" w:eastAsia="宋体" w:cs="宋体"/>
                <w:kern w:val="0"/>
                <w:sz w:val="21"/>
                <w:szCs w:val="21"/>
              </w:rPr>
              <w:t>1万标立以上</w:t>
            </w:r>
            <w:r>
              <w:rPr>
                <w:rFonts w:ascii="宋体" w:hAnsi="宋体" w:eastAsia="宋体"/>
                <w:spacing w:val="7"/>
                <w:kern w:val="0"/>
                <w:sz w:val="21"/>
                <w:szCs w:val="21"/>
              </w:rPr>
              <w:t>不足</w:t>
            </w:r>
            <w:r>
              <w:rPr>
                <w:rFonts w:ascii="宋体" w:hAnsi="宋体" w:eastAsia="宋体" w:cs="宋体"/>
                <w:kern w:val="0"/>
                <w:sz w:val="21"/>
                <w:szCs w:val="21"/>
              </w:rPr>
              <w:t>10万标立</w:t>
            </w:r>
          </w:p>
        </w:tc>
        <w:tc>
          <w:tcPr>
            <w:tcW w:w="626" w:type="pct"/>
            <w:noWrap w:val="0"/>
            <w:tcMar>
              <w:top w:w="0" w:type="dxa"/>
              <w:left w:w="57" w:type="dxa"/>
              <w:bottom w:w="0" w:type="dxa"/>
              <w:right w:w="57" w:type="dxa"/>
            </w:tcMar>
            <w:vAlign w:val="center"/>
          </w:tcPr>
          <w:p w14:paraId="12875DA3">
            <w:pPr>
              <w:autoSpaceDE w:val="0"/>
              <w:autoSpaceDN w:val="0"/>
              <w:adjustRightInd w:val="0"/>
              <w:snapToGrid w:val="0"/>
              <w:spacing w:before="20" w:after="20" w:line="300" w:lineRule="auto"/>
              <w:jc w:val="center"/>
              <w:textAlignment w:val="baseline"/>
              <w:rPr>
                <w:rFonts w:hint="eastAsia" w:ascii="宋体" w:hAnsi="宋体" w:eastAsia="宋体" w:cs="宋体"/>
                <w:snapToGrid w:val="0"/>
                <w:kern w:val="0"/>
                <w:sz w:val="21"/>
                <w:szCs w:val="21"/>
                <w:lang w:eastAsia="en-US"/>
              </w:rPr>
            </w:pPr>
            <w:r>
              <w:rPr>
                <w:rFonts w:ascii="宋体" w:hAnsi="宋体" w:eastAsia="宋体" w:cs="宋体"/>
                <w:kern w:val="0"/>
                <w:sz w:val="21"/>
                <w:szCs w:val="21"/>
              </w:rPr>
              <w:t>3</w:t>
            </w:r>
          </w:p>
        </w:tc>
      </w:tr>
      <w:tr w14:paraId="17751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29653A8E">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56225DD2">
            <w:pPr>
              <w:autoSpaceDE w:val="0"/>
              <w:autoSpaceDN w:val="0"/>
              <w:adjustRightInd w:val="0"/>
              <w:snapToGrid w:val="0"/>
              <w:spacing w:before="20" w:after="20" w:line="300" w:lineRule="auto"/>
              <w:jc w:val="both"/>
              <w:textAlignment w:val="baseline"/>
              <w:rPr>
                <w:rFonts w:hint="eastAsia" w:ascii="宋体" w:hAnsi="宋体" w:eastAsia="宋体" w:cs="宋体"/>
                <w:snapToGrid w:val="0"/>
                <w:kern w:val="0"/>
                <w:sz w:val="21"/>
                <w:szCs w:val="21"/>
              </w:rPr>
            </w:pPr>
            <w:r>
              <w:rPr>
                <w:rFonts w:ascii="宋体" w:hAnsi="宋体" w:eastAsia="宋体" w:cs="宋体"/>
                <w:kern w:val="0"/>
                <w:sz w:val="21"/>
                <w:szCs w:val="21"/>
              </w:rPr>
              <w:t>10万标立以</w:t>
            </w:r>
            <w:bookmarkStart w:id="17" w:name="FunCunProofread631503"/>
            <w:r>
              <w:rPr>
                <w:rFonts w:ascii="宋体" w:hAnsi="宋体" w:eastAsia="宋体"/>
                <w:spacing w:val="7"/>
                <w:kern w:val="0"/>
                <w:sz w:val="21"/>
                <w:szCs w:val="21"/>
              </w:rPr>
              <w:t>上不足</w:t>
            </w:r>
            <w:bookmarkEnd w:id="17"/>
            <w:r>
              <w:rPr>
                <w:rFonts w:ascii="宋体" w:hAnsi="宋体" w:eastAsia="宋体" w:cs="宋体"/>
                <w:kern w:val="0"/>
                <w:sz w:val="21"/>
                <w:szCs w:val="21"/>
              </w:rPr>
              <w:t>20万标立</w:t>
            </w:r>
          </w:p>
        </w:tc>
        <w:tc>
          <w:tcPr>
            <w:tcW w:w="626" w:type="pct"/>
            <w:noWrap w:val="0"/>
            <w:tcMar>
              <w:top w:w="0" w:type="dxa"/>
              <w:left w:w="57" w:type="dxa"/>
              <w:bottom w:w="0" w:type="dxa"/>
              <w:right w:w="57" w:type="dxa"/>
            </w:tcMar>
            <w:vAlign w:val="center"/>
          </w:tcPr>
          <w:p w14:paraId="0E53224A">
            <w:pPr>
              <w:autoSpaceDE w:val="0"/>
              <w:autoSpaceDN w:val="0"/>
              <w:adjustRightInd w:val="0"/>
              <w:snapToGrid w:val="0"/>
              <w:spacing w:before="20" w:after="20" w:line="300" w:lineRule="auto"/>
              <w:jc w:val="center"/>
              <w:textAlignment w:val="baseline"/>
              <w:rPr>
                <w:rFonts w:hint="eastAsia" w:ascii="宋体" w:hAnsi="宋体" w:eastAsia="宋体" w:cs="宋体"/>
                <w:snapToGrid w:val="0"/>
                <w:kern w:val="0"/>
                <w:sz w:val="21"/>
                <w:szCs w:val="21"/>
                <w:lang w:eastAsia="en-US"/>
              </w:rPr>
            </w:pPr>
            <w:r>
              <w:rPr>
                <w:rFonts w:ascii="宋体" w:hAnsi="宋体" w:eastAsia="宋体" w:cs="宋体"/>
                <w:spacing w:val="1"/>
                <w:kern w:val="0"/>
                <w:sz w:val="21"/>
                <w:szCs w:val="21"/>
              </w:rPr>
              <w:t>4</w:t>
            </w:r>
          </w:p>
        </w:tc>
      </w:tr>
      <w:tr w14:paraId="2C683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41C004AF">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7797017E">
            <w:pPr>
              <w:autoSpaceDE w:val="0"/>
              <w:autoSpaceDN w:val="0"/>
              <w:adjustRightInd w:val="0"/>
              <w:snapToGrid w:val="0"/>
              <w:spacing w:before="20" w:after="20" w:line="300" w:lineRule="auto"/>
              <w:jc w:val="both"/>
              <w:textAlignment w:val="baseline"/>
              <w:rPr>
                <w:rFonts w:hint="eastAsia" w:ascii="宋体" w:hAnsi="宋体" w:eastAsia="宋体" w:cs="宋体"/>
                <w:snapToGrid w:val="0"/>
                <w:kern w:val="0"/>
                <w:sz w:val="21"/>
                <w:szCs w:val="21"/>
              </w:rPr>
            </w:pPr>
            <w:r>
              <w:rPr>
                <w:rFonts w:ascii="宋体" w:hAnsi="宋体" w:eastAsia="宋体" w:cs="宋体"/>
                <w:kern w:val="0"/>
                <w:sz w:val="21"/>
                <w:szCs w:val="21"/>
              </w:rPr>
              <w:t>20万标立以上</w:t>
            </w:r>
          </w:p>
        </w:tc>
        <w:tc>
          <w:tcPr>
            <w:tcW w:w="626" w:type="pct"/>
            <w:noWrap w:val="0"/>
            <w:tcMar>
              <w:top w:w="0" w:type="dxa"/>
              <w:left w:w="57" w:type="dxa"/>
              <w:bottom w:w="0" w:type="dxa"/>
              <w:right w:w="57" w:type="dxa"/>
            </w:tcMar>
            <w:vAlign w:val="center"/>
          </w:tcPr>
          <w:p w14:paraId="1DFAEB02">
            <w:pPr>
              <w:autoSpaceDE w:val="0"/>
              <w:autoSpaceDN w:val="0"/>
              <w:adjustRightInd w:val="0"/>
              <w:snapToGrid w:val="0"/>
              <w:spacing w:before="20" w:after="20" w:line="300" w:lineRule="auto"/>
              <w:jc w:val="center"/>
              <w:textAlignment w:val="baseline"/>
              <w:rPr>
                <w:rFonts w:hint="eastAsia" w:ascii="宋体" w:hAnsi="宋体" w:eastAsia="宋体" w:cs="宋体"/>
                <w:snapToGrid w:val="0"/>
                <w:kern w:val="0"/>
                <w:sz w:val="21"/>
                <w:szCs w:val="21"/>
                <w:lang w:eastAsia="en-US"/>
              </w:rPr>
            </w:pPr>
            <w:r>
              <w:rPr>
                <w:rFonts w:ascii="宋体" w:hAnsi="宋体" w:eastAsia="宋体" w:cs="宋体"/>
                <w:kern w:val="0"/>
                <w:sz w:val="21"/>
                <w:szCs w:val="21"/>
              </w:rPr>
              <w:t>5</w:t>
            </w:r>
          </w:p>
        </w:tc>
      </w:tr>
      <w:tr w14:paraId="73895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restart"/>
            <w:noWrap w:val="0"/>
            <w:tcMar>
              <w:top w:w="0" w:type="dxa"/>
              <w:left w:w="57" w:type="dxa"/>
              <w:bottom w:w="0" w:type="dxa"/>
              <w:right w:w="57" w:type="dxa"/>
            </w:tcMar>
            <w:vAlign w:val="center"/>
          </w:tcPr>
          <w:p w14:paraId="7190CF36">
            <w:pPr>
              <w:spacing w:before="20" w:after="20" w:line="300" w:lineRule="auto"/>
              <w:jc w:val="center"/>
              <w:rPr>
                <w:rFonts w:hint="eastAsia"/>
                <w:b/>
              </w:rPr>
            </w:pPr>
            <w:r>
              <w:rPr>
                <w:b/>
              </w:rPr>
              <w:t>声环境功能区类别</w:t>
            </w:r>
          </w:p>
        </w:tc>
        <w:tc>
          <w:tcPr>
            <w:tcW w:w="3726" w:type="pct"/>
            <w:noWrap w:val="0"/>
            <w:tcMar>
              <w:top w:w="0" w:type="dxa"/>
              <w:left w:w="57" w:type="dxa"/>
              <w:bottom w:w="0" w:type="dxa"/>
              <w:right w:w="57" w:type="dxa"/>
            </w:tcMar>
            <w:vAlign w:val="center"/>
          </w:tcPr>
          <w:p w14:paraId="2A6406F7">
            <w:pPr>
              <w:autoSpaceDE w:val="0"/>
              <w:autoSpaceDN w:val="0"/>
              <w:adjustRightInd w:val="0"/>
              <w:snapToGrid w:val="0"/>
              <w:spacing w:before="20" w:after="20" w:line="300" w:lineRule="auto"/>
              <w:textAlignment w:val="baseline"/>
              <w:rPr>
                <w:rFonts w:hint="eastAsia" w:ascii="宋体" w:hAnsi="宋体" w:eastAsia="宋体" w:cs="宋体"/>
                <w:snapToGrid w:val="0"/>
                <w:kern w:val="0"/>
                <w:sz w:val="21"/>
                <w:szCs w:val="21"/>
              </w:rPr>
            </w:pPr>
            <w:r>
              <w:rPr>
                <w:rFonts w:ascii="宋体" w:hAnsi="宋体" w:eastAsia="宋体" w:cs="宋体"/>
                <w:kern w:val="0"/>
                <w:sz w:val="21"/>
                <w:szCs w:val="21"/>
              </w:rPr>
              <w:t>4类声环境功能区</w:t>
            </w:r>
          </w:p>
        </w:tc>
        <w:tc>
          <w:tcPr>
            <w:tcW w:w="626" w:type="pct"/>
            <w:noWrap w:val="0"/>
            <w:tcMar>
              <w:top w:w="0" w:type="dxa"/>
              <w:left w:w="57" w:type="dxa"/>
              <w:bottom w:w="0" w:type="dxa"/>
              <w:right w:w="57" w:type="dxa"/>
            </w:tcMar>
            <w:vAlign w:val="center"/>
          </w:tcPr>
          <w:p w14:paraId="5B8BAFFD">
            <w:pPr>
              <w:topLinePunct/>
              <w:autoSpaceDE w:val="0"/>
              <w:autoSpaceDN w:val="0"/>
              <w:adjustRightInd w:val="0"/>
              <w:snapToGrid w:val="0"/>
              <w:spacing w:before="20" w:after="20" w:line="300" w:lineRule="auto"/>
              <w:jc w:val="center"/>
              <w:textAlignment w:val="baseline"/>
              <w:rPr>
                <w:rFonts w:hint="eastAsia" w:ascii="宋体" w:hAnsi="宋体" w:eastAsia="宋体" w:cs="宋体"/>
                <w:snapToGrid w:val="0"/>
                <w:kern w:val="0"/>
                <w:sz w:val="21"/>
                <w:szCs w:val="21"/>
                <w:lang w:eastAsia="en-US"/>
              </w:rPr>
            </w:pPr>
            <w:r>
              <w:rPr>
                <w:rFonts w:ascii="宋体" w:hAnsi="宋体" w:eastAsia="宋体" w:cs="宋体"/>
                <w:kern w:val="0"/>
                <w:sz w:val="21"/>
                <w:szCs w:val="21"/>
              </w:rPr>
              <w:t>1</w:t>
            </w:r>
          </w:p>
        </w:tc>
      </w:tr>
      <w:tr w14:paraId="2A098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26E64E6A">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5784A989">
            <w:pPr>
              <w:autoSpaceDE w:val="0"/>
              <w:autoSpaceDN w:val="0"/>
              <w:adjustRightInd w:val="0"/>
              <w:snapToGrid w:val="0"/>
              <w:spacing w:before="20" w:after="20" w:line="300" w:lineRule="auto"/>
              <w:textAlignment w:val="baseline"/>
              <w:rPr>
                <w:rFonts w:hint="eastAsia" w:ascii="宋体" w:hAnsi="宋体" w:eastAsia="宋体" w:cs="宋体"/>
                <w:snapToGrid w:val="0"/>
                <w:kern w:val="0"/>
                <w:sz w:val="21"/>
                <w:szCs w:val="21"/>
              </w:rPr>
            </w:pPr>
            <w:r>
              <w:rPr>
                <w:rFonts w:ascii="宋体" w:hAnsi="宋体" w:eastAsia="宋体" w:cs="宋体"/>
                <w:kern w:val="0"/>
                <w:sz w:val="21"/>
                <w:szCs w:val="21"/>
              </w:rPr>
              <w:t>3类声环境功能区</w:t>
            </w:r>
          </w:p>
        </w:tc>
        <w:tc>
          <w:tcPr>
            <w:tcW w:w="626" w:type="pct"/>
            <w:noWrap w:val="0"/>
            <w:tcMar>
              <w:top w:w="0" w:type="dxa"/>
              <w:left w:w="57" w:type="dxa"/>
              <w:bottom w:w="0" w:type="dxa"/>
              <w:right w:w="57" w:type="dxa"/>
            </w:tcMar>
            <w:vAlign w:val="center"/>
          </w:tcPr>
          <w:p w14:paraId="79710DF7">
            <w:pPr>
              <w:topLinePunct/>
              <w:autoSpaceDE w:val="0"/>
              <w:autoSpaceDN w:val="0"/>
              <w:adjustRightInd w:val="0"/>
              <w:snapToGrid w:val="0"/>
              <w:spacing w:before="20" w:after="20" w:line="300" w:lineRule="auto"/>
              <w:jc w:val="center"/>
              <w:textAlignment w:val="baseline"/>
              <w:rPr>
                <w:rFonts w:hint="eastAsia" w:ascii="宋体" w:hAnsi="宋体" w:eastAsia="宋体" w:cs="宋体"/>
                <w:snapToGrid w:val="0"/>
                <w:kern w:val="0"/>
                <w:sz w:val="21"/>
                <w:szCs w:val="21"/>
                <w:lang w:eastAsia="en-US"/>
              </w:rPr>
            </w:pPr>
            <w:r>
              <w:rPr>
                <w:rFonts w:ascii="宋体" w:hAnsi="宋体" w:eastAsia="宋体" w:cs="宋体"/>
                <w:kern w:val="0"/>
                <w:sz w:val="21"/>
                <w:szCs w:val="21"/>
              </w:rPr>
              <w:t>2</w:t>
            </w:r>
          </w:p>
        </w:tc>
      </w:tr>
      <w:tr w14:paraId="422F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75EB2204">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5D88F2E1">
            <w:pPr>
              <w:autoSpaceDE w:val="0"/>
              <w:autoSpaceDN w:val="0"/>
              <w:adjustRightInd w:val="0"/>
              <w:snapToGrid w:val="0"/>
              <w:spacing w:before="20" w:after="20" w:line="300" w:lineRule="auto"/>
              <w:textAlignment w:val="baseline"/>
              <w:rPr>
                <w:rFonts w:hint="eastAsia" w:ascii="宋体" w:hAnsi="宋体" w:eastAsia="宋体" w:cs="宋体"/>
                <w:snapToGrid w:val="0"/>
                <w:kern w:val="0"/>
                <w:sz w:val="21"/>
                <w:szCs w:val="21"/>
              </w:rPr>
            </w:pPr>
            <w:r>
              <w:rPr>
                <w:rFonts w:ascii="宋体" w:hAnsi="宋体" w:eastAsia="宋体" w:cs="宋体"/>
                <w:kern w:val="0"/>
                <w:sz w:val="21"/>
                <w:szCs w:val="21"/>
              </w:rPr>
              <w:t>2类声环境功能区</w:t>
            </w:r>
          </w:p>
        </w:tc>
        <w:tc>
          <w:tcPr>
            <w:tcW w:w="626" w:type="pct"/>
            <w:noWrap w:val="0"/>
            <w:tcMar>
              <w:top w:w="0" w:type="dxa"/>
              <w:left w:w="57" w:type="dxa"/>
              <w:bottom w:w="0" w:type="dxa"/>
              <w:right w:w="57" w:type="dxa"/>
            </w:tcMar>
            <w:vAlign w:val="center"/>
          </w:tcPr>
          <w:p w14:paraId="406FD28E">
            <w:pPr>
              <w:topLinePunct/>
              <w:autoSpaceDE w:val="0"/>
              <w:autoSpaceDN w:val="0"/>
              <w:adjustRightInd w:val="0"/>
              <w:snapToGrid w:val="0"/>
              <w:spacing w:before="20" w:after="20" w:line="300" w:lineRule="auto"/>
              <w:jc w:val="center"/>
              <w:textAlignment w:val="baseline"/>
              <w:rPr>
                <w:rFonts w:hint="eastAsia" w:ascii="宋体" w:hAnsi="宋体" w:eastAsia="宋体" w:cs="宋体"/>
                <w:snapToGrid w:val="0"/>
                <w:kern w:val="0"/>
                <w:sz w:val="21"/>
                <w:szCs w:val="21"/>
                <w:lang w:eastAsia="en-US"/>
              </w:rPr>
            </w:pPr>
            <w:r>
              <w:rPr>
                <w:rFonts w:ascii="宋体" w:hAnsi="宋体" w:eastAsia="宋体" w:cs="宋体"/>
                <w:kern w:val="0"/>
                <w:sz w:val="21"/>
                <w:szCs w:val="21"/>
              </w:rPr>
              <w:t>3</w:t>
            </w:r>
          </w:p>
        </w:tc>
      </w:tr>
      <w:tr w14:paraId="3D8B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5FC3D83B">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495BFCBE">
            <w:pPr>
              <w:autoSpaceDE w:val="0"/>
              <w:autoSpaceDN w:val="0"/>
              <w:adjustRightInd w:val="0"/>
              <w:snapToGrid w:val="0"/>
              <w:spacing w:before="20" w:after="20" w:line="300" w:lineRule="auto"/>
              <w:jc w:val="both"/>
              <w:textAlignment w:val="baseline"/>
              <w:rPr>
                <w:rFonts w:hint="eastAsia" w:ascii="宋体" w:hAnsi="宋体" w:eastAsia="宋体" w:cs="宋体"/>
                <w:snapToGrid w:val="0"/>
                <w:kern w:val="0"/>
                <w:sz w:val="21"/>
                <w:szCs w:val="21"/>
              </w:rPr>
            </w:pPr>
            <w:r>
              <w:rPr>
                <w:rFonts w:ascii="宋体" w:hAnsi="宋体" w:eastAsia="宋体" w:cs="宋体"/>
                <w:kern w:val="0"/>
                <w:sz w:val="21"/>
                <w:szCs w:val="21"/>
              </w:rPr>
              <w:t>1类声环境功能区</w:t>
            </w:r>
          </w:p>
        </w:tc>
        <w:tc>
          <w:tcPr>
            <w:tcW w:w="626" w:type="pct"/>
            <w:noWrap w:val="0"/>
            <w:tcMar>
              <w:top w:w="0" w:type="dxa"/>
              <w:left w:w="57" w:type="dxa"/>
              <w:bottom w:w="0" w:type="dxa"/>
              <w:right w:w="57" w:type="dxa"/>
            </w:tcMar>
            <w:vAlign w:val="center"/>
          </w:tcPr>
          <w:p w14:paraId="71315612">
            <w:pPr>
              <w:topLinePunct/>
              <w:autoSpaceDE w:val="0"/>
              <w:autoSpaceDN w:val="0"/>
              <w:adjustRightInd w:val="0"/>
              <w:snapToGrid w:val="0"/>
              <w:spacing w:before="20" w:after="20" w:line="300" w:lineRule="auto"/>
              <w:jc w:val="center"/>
              <w:textAlignment w:val="baseline"/>
              <w:rPr>
                <w:rFonts w:hint="eastAsia" w:ascii="宋体" w:hAnsi="宋体" w:eastAsia="宋体" w:cs="宋体"/>
                <w:snapToGrid w:val="0"/>
                <w:kern w:val="0"/>
                <w:sz w:val="21"/>
                <w:szCs w:val="21"/>
                <w:lang w:eastAsia="en-US"/>
              </w:rPr>
            </w:pPr>
            <w:r>
              <w:rPr>
                <w:rFonts w:ascii="宋体" w:hAnsi="宋体" w:eastAsia="宋体" w:cs="宋体"/>
                <w:spacing w:val="1"/>
                <w:kern w:val="0"/>
                <w:sz w:val="21"/>
                <w:szCs w:val="21"/>
              </w:rPr>
              <w:t>4</w:t>
            </w:r>
          </w:p>
        </w:tc>
      </w:tr>
      <w:tr w14:paraId="31913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00C4B944">
            <w:pPr>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7758BB8B">
            <w:pPr>
              <w:autoSpaceDE w:val="0"/>
              <w:autoSpaceDN w:val="0"/>
              <w:adjustRightInd w:val="0"/>
              <w:snapToGrid w:val="0"/>
              <w:spacing w:before="20" w:after="20" w:line="300" w:lineRule="auto"/>
              <w:jc w:val="both"/>
              <w:textAlignment w:val="baseline"/>
              <w:rPr>
                <w:rFonts w:hint="eastAsia" w:ascii="宋体" w:hAnsi="宋体" w:eastAsia="宋体" w:cs="宋体"/>
                <w:snapToGrid w:val="0"/>
                <w:kern w:val="0"/>
                <w:sz w:val="21"/>
                <w:szCs w:val="21"/>
              </w:rPr>
            </w:pPr>
            <w:r>
              <w:rPr>
                <w:rFonts w:ascii="宋体" w:hAnsi="宋体" w:eastAsia="宋体" w:cs="宋体"/>
                <w:kern w:val="0"/>
                <w:sz w:val="21"/>
                <w:szCs w:val="21"/>
              </w:rPr>
              <w:t>0类声环境功能区</w:t>
            </w:r>
          </w:p>
        </w:tc>
        <w:tc>
          <w:tcPr>
            <w:tcW w:w="626" w:type="pct"/>
            <w:noWrap w:val="0"/>
            <w:tcMar>
              <w:top w:w="0" w:type="dxa"/>
              <w:left w:w="57" w:type="dxa"/>
              <w:bottom w:w="0" w:type="dxa"/>
              <w:right w:w="57" w:type="dxa"/>
            </w:tcMar>
            <w:vAlign w:val="center"/>
          </w:tcPr>
          <w:p w14:paraId="22638E53">
            <w:pPr>
              <w:topLinePunct/>
              <w:autoSpaceDE w:val="0"/>
              <w:autoSpaceDN w:val="0"/>
              <w:adjustRightInd w:val="0"/>
              <w:snapToGrid w:val="0"/>
              <w:spacing w:before="20" w:after="20" w:line="300" w:lineRule="auto"/>
              <w:jc w:val="center"/>
              <w:textAlignment w:val="baseline"/>
              <w:rPr>
                <w:rFonts w:hint="eastAsia" w:ascii="宋体" w:hAnsi="宋体" w:eastAsia="宋体" w:cs="宋体"/>
                <w:snapToGrid w:val="0"/>
                <w:kern w:val="0"/>
                <w:sz w:val="21"/>
                <w:szCs w:val="21"/>
                <w:lang w:eastAsia="en-US"/>
              </w:rPr>
            </w:pPr>
            <w:r>
              <w:rPr>
                <w:rFonts w:ascii="宋体" w:hAnsi="宋体" w:eastAsia="宋体" w:cs="宋体"/>
                <w:kern w:val="0"/>
                <w:sz w:val="21"/>
                <w:szCs w:val="21"/>
              </w:rPr>
              <w:t>5</w:t>
            </w:r>
          </w:p>
        </w:tc>
      </w:tr>
      <w:tr w14:paraId="681CB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restart"/>
            <w:noWrap w:val="0"/>
            <w:tcMar>
              <w:top w:w="0" w:type="dxa"/>
              <w:left w:w="57" w:type="dxa"/>
              <w:bottom w:w="0" w:type="dxa"/>
              <w:right w:w="57" w:type="dxa"/>
            </w:tcMar>
            <w:vAlign w:val="center"/>
          </w:tcPr>
          <w:p w14:paraId="61C97E01">
            <w:pPr>
              <w:spacing w:before="20" w:after="20" w:line="300" w:lineRule="auto"/>
              <w:jc w:val="center"/>
              <w:rPr>
                <w:rFonts w:hint="eastAsia"/>
                <w:b/>
              </w:rPr>
            </w:pPr>
            <w:r>
              <w:rPr>
                <w:b/>
              </w:rPr>
              <w:t>超过重点污染物排放总量控制指标</w:t>
            </w:r>
          </w:p>
        </w:tc>
        <w:tc>
          <w:tcPr>
            <w:tcW w:w="3726" w:type="pct"/>
            <w:noWrap w:val="0"/>
            <w:tcMar>
              <w:top w:w="0" w:type="dxa"/>
              <w:left w:w="57" w:type="dxa"/>
              <w:bottom w:w="0" w:type="dxa"/>
              <w:right w:w="57" w:type="dxa"/>
            </w:tcMar>
            <w:vAlign w:val="center"/>
          </w:tcPr>
          <w:p w14:paraId="573AB383">
            <w:pPr>
              <w:autoSpaceDE w:val="0"/>
              <w:autoSpaceDN w:val="0"/>
              <w:adjustRightInd w:val="0"/>
              <w:snapToGrid w:val="0"/>
              <w:spacing w:before="20" w:after="20" w:line="300" w:lineRule="auto"/>
              <w:jc w:val="both"/>
              <w:textAlignment w:val="baseline"/>
              <w:rPr>
                <w:rFonts w:hint="eastAsia" w:ascii="宋体" w:hAnsi="宋体" w:eastAsia="宋体" w:cs="宋体"/>
                <w:snapToGrid w:val="0"/>
                <w:kern w:val="0"/>
                <w:sz w:val="21"/>
                <w:szCs w:val="21"/>
              </w:rPr>
            </w:pPr>
            <w:r>
              <w:rPr>
                <w:rFonts w:ascii="宋体" w:hAnsi="宋体" w:eastAsia="宋体"/>
                <w:spacing w:val="7"/>
                <w:kern w:val="0"/>
                <w:sz w:val="21"/>
                <w:szCs w:val="21"/>
              </w:rPr>
              <w:t>不足</w:t>
            </w:r>
            <w:r>
              <w:rPr>
                <w:rFonts w:ascii="宋体" w:hAnsi="宋体" w:eastAsia="宋体" w:cs="宋体"/>
                <w:kern w:val="0"/>
                <w:sz w:val="21"/>
                <w:szCs w:val="21"/>
              </w:rPr>
              <w:t>总量10%</w:t>
            </w:r>
          </w:p>
        </w:tc>
        <w:tc>
          <w:tcPr>
            <w:tcW w:w="626" w:type="pct"/>
            <w:noWrap w:val="0"/>
            <w:tcMar>
              <w:top w:w="0" w:type="dxa"/>
              <w:left w:w="57" w:type="dxa"/>
              <w:bottom w:w="0" w:type="dxa"/>
              <w:right w:w="57" w:type="dxa"/>
            </w:tcMar>
            <w:vAlign w:val="center"/>
          </w:tcPr>
          <w:p w14:paraId="22C9A86B">
            <w:pPr>
              <w:autoSpaceDE w:val="0"/>
              <w:autoSpaceDN w:val="0"/>
              <w:adjustRightInd w:val="0"/>
              <w:snapToGrid w:val="0"/>
              <w:spacing w:before="20" w:after="20" w:line="300" w:lineRule="auto"/>
              <w:jc w:val="center"/>
              <w:textAlignment w:val="baseline"/>
              <w:rPr>
                <w:rFonts w:hint="eastAsia" w:ascii="宋体" w:hAnsi="宋体" w:eastAsia="宋体" w:cs="宋体"/>
                <w:snapToGrid w:val="0"/>
                <w:kern w:val="0"/>
                <w:sz w:val="21"/>
                <w:szCs w:val="21"/>
                <w:lang w:eastAsia="en-US"/>
              </w:rPr>
            </w:pPr>
            <w:r>
              <w:rPr>
                <w:rFonts w:ascii="宋体" w:hAnsi="宋体" w:eastAsia="宋体" w:cs="宋体"/>
                <w:kern w:val="0"/>
                <w:sz w:val="21"/>
                <w:szCs w:val="21"/>
              </w:rPr>
              <w:t>1</w:t>
            </w:r>
          </w:p>
        </w:tc>
      </w:tr>
      <w:tr w14:paraId="30A9F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23861D64">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01FD271B">
            <w:pPr>
              <w:autoSpaceDE w:val="0"/>
              <w:autoSpaceDN w:val="0"/>
              <w:adjustRightInd w:val="0"/>
              <w:snapToGrid w:val="0"/>
              <w:spacing w:before="20" w:after="20" w:line="300" w:lineRule="auto"/>
              <w:jc w:val="both"/>
              <w:textAlignment w:val="baseline"/>
              <w:rPr>
                <w:rFonts w:hint="eastAsia" w:ascii="宋体" w:hAnsi="宋体" w:eastAsia="宋体" w:cs="宋体"/>
                <w:snapToGrid w:val="0"/>
                <w:kern w:val="0"/>
                <w:sz w:val="21"/>
                <w:szCs w:val="21"/>
              </w:rPr>
            </w:pPr>
            <w:r>
              <w:rPr>
                <w:rFonts w:ascii="宋体" w:hAnsi="宋体" w:eastAsia="宋体" w:cs="宋体"/>
                <w:kern w:val="0"/>
                <w:sz w:val="21"/>
                <w:szCs w:val="21"/>
              </w:rPr>
              <w:t>总量10%以上</w:t>
            </w:r>
            <w:r>
              <w:rPr>
                <w:rFonts w:ascii="宋体" w:hAnsi="宋体" w:eastAsia="宋体"/>
                <w:spacing w:val="7"/>
                <w:kern w:val="0"/>
                <w:sz w:val="21"/>
                <w:szCs w:val="21"/>
              </w:rPr>
              <w:t>不足</w:t>
            </w:r>
            <w:r>
              <w:rPr>
                <w:rFonts w:ascii="宋体" w:hAnsi="宋体" w:eastAsia="宋体" w:cs="宋体"/>
                <w:kern w:val="0"/>
                <w:sz w:val="21"/>
                <w:szCs w:val="21"/>
              </w:rPr>
              <w:t>20%</w:t>
            </w:r>
          </w:p>
        </w:tc>
        <w:tc>
          <w:tcPr>
            <w:tcW w:w="626" w:type="pct"/>
            <w:noWrap w:val="0"/>
            <w:tcMar>
              <w:top w:w="0" w:type="dxa"/>
              <w:left w:w="57" w:type="dxa"/>
              <w:bottom w:w="0" w:type="dxa"/>
              <w:right w:w="57" w:type="dxa"/>
            </w:tcMar>
            <w:vAlign w:val="center"/>
          </w:tcPr>
          <w:p w14:paraId="6A373117">
            <w:pPr>
              <w:autoSpaceDE w:val="0"/>
              <w:autoSpaceDN w:val="0"/>
              <w:adjustRightInd w:val="0"/>
              <w:snapToGrid w:val="0"/>
              <w:spacing w:before="20" w:after="20" w:line="300" w:lineRule="auto"/>
              <w:jc w:val="center"/>
              <w:textAlignment w:val="baseline"/>
              <w:rPr>
                <w:rFonts w:hint="eastAsia" w:ascii="宋体" w:hAnsi="宋体" w:eastAsia="宋体" w:cs="宋体"/>
                <w:snapToGrid w:val="0"/>
                <w:kern w:val="0"/>
                <w:sz w:val="21"/>
                <w:szCs w:val="21"/>
                <w:lang w:eastAsia="en-US"/>
              </w:rPr>
            </w:pPr>
            <w:r>
              <w:rPr>
                <w:rFonts w:ascii="宋体" w:hAnsi="宋体" w:eastAsia="宋体" w:cs="宋体"/>
                <w:kern w:val="0"/>
                <w:sz w:val="21"/>
                <w:szCs w:val="21"/>
              </w:rPr>
              <w:t>2</w:t>
            </w:r>
          </w:p>
        </w:tc>
      </w:tr>
      <w:tr w14:paraId="5FCF7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284B33C7">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51255212">
            <w:pPr>
              <w:autoSpaceDE w:val="0"/>
              <w:autoSpaceDN w:val="0"/>
              <w:adjustRightInd w:val="0"/>
              <w:snapToGrid w:val="0"/>
              <w:spacing w:before="20" w:after="20" w:line="300" w:lineRule="auto"/>
              <w:jc w:val="both"/>
              <w:textAlignment w:val="baseline"/>
              <w:rPr>
                <w:rFonts w:hint="eastAsia" w:ascii="宋体" w:hAnsi="宋体" w:eastAsia="宋体" w:cs="宋体"/>
                <w:snapToGrid w:val="0"/>
                <w:kern w:val="0"/>
                <w:sz w:val="21"/>
                <w:szCs w:val="21"/>
              </w:rPr>
            </w:pPr>
            <w:r>
              <w:rPr>
                <w:rFonts w:ascii="宋体" w:hAnsi="宋体" w:eastAsia="宋体" w:cs="宋体"/>
                <w:kern w:val="0"/>
                <w:sz w:val="21"/>
                <w:szCs w:val="21"/>
              </w:rPr>
              <w:t>总量20%以上</w:t>
            </w:r>
            <w:r>
              <w:rPr>
                <w:rFonts w:ascii="宋体" w:hAnsi="宋体" w:eastAsia="宋体"/>
                <w:spacing w:val="7"/>
                <w:kern w:val="0"/>
                <w:sz w:val="21"/>
                <w:szCs w:val="21"/>
              </w:rPr>
              <w:t>不足</w:t>
            </w:r>
            <w:r>
              <w:rPr>
                <w:rFonts w:ascii="宋体" w:hAnsi="宋体" w:eastAsia="宋体" w:cs="宋体"/>
                <w:kern w:val="0"/>
                <w:sz w:val="21"/>
                <w:szCs w:val="21"/>
              </w:rPr>
              <w:t>50%</w:t>
            </w:r>
          </w:p>
        </w:tc>
        <w:tc>
          <w:tcPr>
            <w:tcW w:w="626" w:type="pct"/>
            <w:noWrap w:val="0"/>
            <w:tcMar>
              <w:top w:w="0" w:type="dxa"/>
              <w:left w:w="57" w:type="dxa"/>
              <w:bottom w:w="0" w:type="dxa"/>
              <w:right w:w="57" w:type="dxa"/>
            </w:tcMar>
            <w:vAlign w:val="center"/>
          </w:tcPr>
          <w:p w14:paraId="4513B6F5">
            <w:pPr>
              <w:autoSpaceDE w:val="0"/>
              <w:autoSpaceDN w:val="0"/>
              <w:adjustRightInd w:val="0"/>
              <w:snapToGrid w:val="0"/>
              <w:spacing w:before="20" w:after="20" w:line="300" w:lineRule="auto"/>
              <w:jc w:val="center"/>
              <w:textAlignment w:val="baseline"/>
              <w:rPr>
                <w:rFonts w:hint="eastAsia" w:ascii="宋体" w:hAnsi="宋体" w:eastAsia="宋体" w:cs="宋体"/>
                <w:snapToGrid w:val="0"/>
                <w:kern w:val="0"/>
                <w:sz w:val="21"/>
                <w:szCs w:val="21"/>
                <w:lang w:eastAsia="en-US"/>
              </w:rPr>
            </w:pPr>
            <w:r>
              <w:rPr>
                <w:rFonts w:ascii="宋体" w:hAnsi="宋体" w:eastAsia="宋体" w:cs="宋体"/>
                <w:kern w:val="0"/>
                <w:sz w:val="21"/>
                <w:szCs w:val="21"/>
              </w:rPr>
              <w:t>3</w:t>
            </w:r>
          </w:p>
        </w:tc>
      </w:tr>
      <w:tr w14:paraId="2DB7A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2C62B00A">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0735BF44">
            <w:pPr>
              <w:autoSpaceDE w:val="0"/>
              <w:autoSpaceDN w:val="0"/>
              <w:adjustRightInd w:val="0"/>
              <w:snapToGrid w:val="0"/>
              <w:spacing w:before="20" w:after="20" w:line="300" w:lineRule="auto"/>
              <w:jc w:val="both"/>
              <w:textAlignment w:val="baseline"/>
              <w:rPr>
                <w:rFonts w:hint="eastAsia" w:ascii="宋体" w:hAnsi="宋体" w:eastAsia="宋体" w:cs="宋体"/>
                <w:snapToGrid w:val="0"/>
                <w:kern w:val="0"/>
                <w:sz w:val="21"/>
                <w:szCs w:val="21"/>
              </w:rPr>
            </w:pPr>
            <w:r>
              <w:rPr>
                <w:rFonts w:ascii="宋体" w:hAnsi="宋体" w:eastAsia="宋体" w:cs="宋体"/>
                <w:kern w:val="0"/>
                <w:sz w:val="21"/>
                <w:szCs w:val="21"/>
              </w:rPr>
              <w:t>总量50%以上</w:t>
            </w:r>
            <w:r>
              <w:rPr>
                <w:rFonts w:ascii="宋体" w:hAnsi="宋体" w:eastAsia="宋体"/>
                <w:spacing w:val="7"/>
                <w:kern w:val="0"/>
                <w:sz w:val="21"/>
                <w:szCs w:val="21"/>
              </w:rPr>
              <w:t>不足</w:t>
            </w:r>
            <w:r>
              <w:rPr>
                <w:rFonts w:ascii="宋体" w:hAnsi="宋体" w:eastAsia="宋体" w:cs="宋体"/>
                <w:kern w:val="0"/>
                <w:sz w:val="21"/>
                <w:szCs w:val="21"/>
              </w:rPr>
              <w:t>100%</w:t>
            </w:r>
          </w:p>
        </w:tc>
        <w:tc>
          <w:tcPr>
            <w:tcW w:w="626" w:type="pct"/>
            <w:noWrap w:val="0"/>
            <w:tcMar>
              <w:top w:w="0" w:type="dxa"/>
              <w:left w:w="57" w:type="dxa"/>
              <w:bottom w:w="0" w:type="dxa"/>
              <w:right w:w="57" w:type="dxa"/>
            </w:tcMar>
            <w:vAlign w:val="center"/>
          </w:tcPr>
          <w:p w14:paraId="0BEFEDBE">
            <w:pPr>
              <w:autoSpaceDE w:val="0"/>
              <w:autoSpaceDN w:val="0"/>
              <w:adjustRightInd w:val="0"/>
              <w:snapToGrid w:val="0"/>
              <w:spacing w:before="20" w:after="20" w:line="300" w:lineRule="auto"/>
              <w:jc w:val="center"/>
              <w:textAlignment w:val="baseline"/>
              <w:rPr>
                <w:rFonts w:hint="eastAsia" w:ascii="宋体" w:hAnsi="宋体" w:eastAsia="宋体" w:cs="宋体"/>
                <w:snapToGrid w:val="0"/>
                <w:kern w:val="0"/>
                <w:sz w:val="21"/>
                <w:szCs w:val="21"/>
                <w:lang w:eastAsia="en-US"/>
              </w:rPr>
            </w:pPr>
            <w:r>
              <w:rPr>
                <w:rFonts w:ascii="宋体" w:hAnsi="宋体" w:eastAsia="宋体" w:cs="宋体"/>
                <w:spacing w:val="1"/>
                <w:kern w:val="0"/>
                <w:sz w:val="21"/>
                <w:szCs w:val="21"/>
              </w:rPr>
              <w:t>4</w:t>
            </w:r>
          </w:p>
        </w:tc>
      </w:tr>
      <w:tr w14:paraId="325B6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vMerge w:val="continue"/>
            <w:noWrap w:val="0"/>
            <w:tcMar>
              <w:top w:w="0" w:type="dxa"/>
              <w:left w:w="57" w:type="dxa"/>
              <w:bottom w:w="0" w:type="dxa"/>
              <w:right w:w="57" w:type="dxa"/>
            </w:tcMar>
            <w:vAlign w:val="center"/>
          </w:tcPr>
          <w:p w14:paraId="4A038DDD">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26" w:type="pct"/>
            <w:noWrap w:val="0"/>
            <w:tcMar>
              <w:top w:w="0" w:type="dxa"/>
              <w:left w:w="57" w:type="dxa"/>
              <w:bottom w:w="0" w:type="dxa"/>
              <w:right w:w="57" w:type="dxa"/>
            </w:tcMar>
            <w:vAlign w:val="center"/>
          </w:tcPr>
          <w:p w14:paraId="0E5CA00A">
            <w:pPr>
              <w:autoSpaceDE w:val="0"/>
              <w:autoSpaceDN w:val="0"/>
              <w:adjustRightInd w:val="0"/>
              <w:snapToGrid w:val="0"/>
              <w:spacing w:before="20" w:after="20" w:line="300" w:lineRule="auto"/>
              <w:jc w:val="both"/>
              <w:textAlignment w:val="baseline"/>
              <w:rPr>
                <w:rFonts w:hint="eastAsia" w:ascii="宋体" w:hAnsi="宋体" w:eastAsia="宋体" w:cs="宋体"/>
                <w:snapToGrid w:val="0"/>
                <w:kern w:val="0"/>
                <w:sz w:val="21"/>
                <w:szCs w:val="21"/>
              </w:rPr>
            </w:pPr>
            <w:r>
              <w:rPr>
                <w:rFonts w:ascii="宋体" w:hAnsi="宋体" w:eastAsia="宋体" w:cs="宋体"/>
                <w:kern w:val="0"/>
                <w:sz w:val="21"/>
                <w:szCs w:val="21"/>
              </w:rPr>
              <w:t>总量100%以上</w:t>
            </w:r>
          </w:p>
        </w:tc>
        <w:tc>
          <w:tcPr>
            <w:tcW w:w="626" w:type="pct"/>
            <w:noWrap w:val="0"/>
            <w:tcMar>
              <w:top w:w="0" w:type="dxa"/>
              <w:left w:w="57" w:type="dxa"/>
              <w:bottom w:w="0" w:type="dxa"/>
              <w:right w:w="57" w:type="dxa"/>
            </w:tcMar>
            <w:vAlign w:val="center"/>
          </w:tcPr>
          <w:p w14:paraId="1C9326CF">
            <w:pPr>
              <w:autoSpaceDE w:val="0"/>
              <w:autoSpaceDN w:val="0"/>
              <w:adjustRightInd w:val="0"/>
              <w:snapToGrid w:val="0"/>
              <w:spacing w:before="20" w:after="20" w:line="300" w:lineRule="auto"/>
              <w:jc w:val="center"/>
              <w:textAlignment w:val="baseline"/>
              <w:rPr>
                <w:rFonts w:hint="eastAsia" w:ascii="宋体" w:hAnsi="宋体" w:eastAsia="宋体" w:cs="宋体"/>
                <w:snapToGrid w:val="0"/>
                <w:kern w:val="0"/>
                <w:sz w:val="21"/>
                <w:szCs w:val="21"/>
                <w:lang w:eastAsia="en-US"/>
              </w:rPr>
            </w:pPr>
            <w:r>
              <w:rPr>
                <w:rFonts w:ascii="宋体" w:hAnsi="宋体" w:eastAsia="宋体" w:cs="宋体"/>
                <w:kern w:val="0"/>
                <w:sz w:val="21"/>
                <w:szCs w:val="21"/>
              </w:rPr>
              <w:t>5</w:t>
            </w:r>
          </w:p>
        </w:tc>
      </w:tr>
      <w:tr w14:paraId="770EB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7" w:type="pct"/>
            <w:noWrap w:val="0"/>
            <w:tcMar>
              <w:top w:w="0" w:type="dxa"/>
              <w:left w:w="57" w:type="dxa"/>
              <w:bottom w:w="0" w:type="dxa"/>
              <w:right w:w="57" w:type="dxa"/>
            </w:tcMar>
            <w:vAlign w:val="center"/>
          </w:tcPr>
          <w:p w14:paraId="162904CF">
            <w:pPr>
              <w:spacing w:before="20" w:after="20" w:line="300" w:lineRule="auto"/>
              <w:jc w:val="center"/>
              <w:rPr>
                <w:rFonts w:hint="eastAsia"/>
                <w:b/>
              </w:rPr>
            </w:pPr>
            <w:r>
              <w:rPr>
                <w:b/>
              </w:rPr>
              <w:t>备注</w:t>
            </w:r>
          </w:p>
        </w:tc>
        <w:tc>
          <w:tcPr>
            <w:tcW w:w="4353" w:type="pct"/>
            <w:gridSpan w:val="2"/>
            <w:noWrap w:val="0"/>
            <w:tcMar>
              <w:top w:w="0" w:type="dxa"/>
              <w:left w:w="57" w:type="dxa"/>
              <w:bottom w:w="0" w:type="dxa"/>
              <w:right w:w="57" w:type="dxa"/>
            </w:tcMar>
            <w:vAlign w:val="center"/>
          </w:tcPr>
          <w:p w14:paraId="75D8D465">
            <w:pPr>
              <w:autoSpaceDE w:val="0"/>
              <w:autoSpaceDN w:val="0"/>
              <w:adjustRightInd w:val="0"/>
              <w:snapToGrid w:val="0"/>
              <w:spacing w:before="20" w:after="20" w:line="300" w:lineRule="auto"/>
              <w:jc w:val="both"/>
              <w:textAlignment w:val="baseline"/>
              <w:rPr>
                <w:rFonts w:hint="eastAsia" w:ascii="宋体" w:hAnsi="宋体" w:eastAsia="宋体" w:cs="宋体"/>
                <w:kern w:val="0"/>
                <w:sz w:val="21"/>
                <w:szCs w:val="21"/>
              </w:rPr>
            </w:pPr>
            <w:r>
              <w:rPr>
                <w:rFonts w:ascii="宋体" w:hAnsi="宋体" w:eastAsia="宋体" w:cs="宋体"/>
                <w:kern w:val="0"/>
                <w:sz w:val="21"/>
                <w:szCs w:val="21"/>
              </w:rPr>
              <w:t>同时存在2个以上超标因子时，超标倍数较高的污染物的相关数据作为“超标浓度”和“累计超标天数”选取依据</w:t>
            </w:r>
          </w:p>
        </w:tc>
      </w:tr>
    </w:tbl>
    <w:p w14:paraId="55B9CEB6">
      <w:pPr>
        <w:spacing w:before="40" w:after="40" w:line="400" w:lineRule="auto"/>
        <w:jc w:val="both"/>
        <w:rPr>
          <w:rFonts w:ascii="Times New Roman" w:hAnsi="Times New Roman" w:eastAsia="黑体"/>
          <w:b/>
          <w:sz w:val="24"/>
        </w:rPr>
      </w:pPr>
      <w:r>
        <w:rPr>
          <w:rFonts w:hint="eastAsia" w:ascii="Times New Roman" w:hAnsi="Times New Roman" w:eastAsia="黑体"/>
          <w:b/>
          <w:sz w:val="24"/>
        </w:rPr>
        <w:t>3.逃避监管排放污染物的行为</w:t>
      </w:r>
    </w:p>
    <w:tbl>
      <w:tblPr>
        <w:tblStyle w:val="8"/>
        <w:tblW w:w="49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45"/>
        <w:gridCol w:w="6720"/>
        <w:gridCol w:w="1209"/>
      </w:tblGrid>
      <w:tr w14:paraId="3F1D7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1" w:type="pct"/>
            <w:noWrap w:val="0"/>
            <w:tcMar>
              <w:top w:w="0" w:type="dxa"/>
              <w:left w:w="57" w:type="dxa"/>
              <w:bottom w:w="0" w:type="dxa"/>
              <w:right w:w="57" w:type="dxa"/>
            </w:tcMar>
            <w:vAlign w:val="center"/>
          </w:tcPr>
          <w:p w14:paraId="5E91E8D4">
            <w:pPr>
              <w:spacing w:before="20" w:after="20" w:line="300" w:lineRule="auto"/>
              <w:jc w:val="center"/>
              <w:rPr>
                <w:rFonts w:hint="eastAsia"/>
                <w:b/>
              </w:rPr>
            </w:pPr>
            <w:r>
              <w:rPr>
                <w:b/>
              </w:rPr>
              <w:t>违反条款</w:t>
            </w:r>
          </w:p>
        </w:tc>
        <w:tc>
          <w:tcPr>
            <w:tcW w:w="4369" w:type="pct"/>
            <w:gridSpan w:val="2"/>
            <w:noWrap w:val="0"/>
            <w:tcMar>
              <w:top w:w="0" w:type="dxa"/>
              <w:left w:w="57" w:type="dxa"/>
              <w:bottom w:w="0" w:type="dxa"/>
              <w:right w:w="57" w:type="dxa"/>
            </w:tcMar>
            <w:vAlign w:val="center"/>
          </w:tcPr>
          <w:p w14:paraId="62F0203C">
            <w:pPr>
              <w:pStyle w:val="20"/>
              <w:spacing w:before="20" w:after="20" w:line="300" w:lineRule="auto"/>
              <w:ind w:right="110"/>
              <w:rPr>
                <w:rFonts w:hint="eastAsia"/>
                <w:sz w:val="21"/>
                <w:szCs w:val="21"/>
              </w:rPr>
            </w:pPr>
            <w:r>
              <w:rPr>
                <w:sz w:val="21"/>
                <w:szCs w:val="21"/>
              </w:rPr>
              <w:t>1.《中华人民共和国生态环境法典》第一百六十四条第一款 禁止通过暗管、渗井、渗坑、灌注、裂隙、溶洞、篡改或者伪造监测数据、以逃避现场检查为目的的临时停产、非紧急情况下开启应急排放通道、不正常运行污染防治设施等逃避监管的方式排放污染物</w:t>
            </w:r>
            <w:r>
              <w:rPr>
                <w:rFonts w:hint="eastAsia"/>
                <w:sz w:val="21"/>
                <w:szCs w:val="21"/>
              </w:rPr>
              <w:t>。</w:t>
            </w:r>
          </w:p>
          <w:p w14:paraId="2F255AD2">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rFonts w:hint="eastAsia"/>
                <w:sz w:val="21"/>
                <w:szCs w:val="21"/>
              </w:rPr>
              <w:t>2</w:t>
            </w:r>
            <w:r>
              <w:rPr>
                <w:sz w:val="21"/>
                <w:szCs w:val="21"/>
              </w:rPr>
              <w:t>.</w:t>
            </w:r>
            <w:r>
              <w:rPr>
                <w:rFonts w:hint="eastAsia"/>
                <w:sz w:val="21"/>
                <w:szCs w:val="21"/>
              </w:rPr>
              <w:t>《排污许可管理条例》</w:t>
            </w:r>
            <w:r>
              <w:rPr>
                <w:sz w:val="21"/>
                <w:szCs w:val="21"/>
              </w:rPr>
              <w:t>第十七条 排污许可证是对排污单位进行生态环境监管的主要依据。</w:t>
            </w:r>
          </w:p>
          <w:p w14:paraId="49FB103A">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排污单位应当遵守排污许可证规定，按照生态环境管理要求运行和维护污染防治设施，建立环境管理制度，严格控制污染物排放。</w:t>
            </w:r>
          </w:p>
          <w:p w14:paraId="489DA6C7">
            <w:pPr>
              <w:pStyle w:val="20"/>
              <w:autoSpaceDE w:val="0"/>
              <w:autoSpaceDN w:val="0"/>
              <w:adjustRightInd w:val="0"/>
              <w:snapToGrid w:val="0"/>
              <w:spacing w:before="20" w:after="20" w:line="300" w:lineRule="auto"/>
              <w:ind w:right="110"/>
              <w:textAlignment w:val="baseline"/>
              <w:rPr>
                <w:rFonts w:hint="eastAsia"/>
                <w:b/>
                <w:bCs/>
                <w:sz w:val="21"/>
                <w:szCs w:val="21"/>
              </w:rPr>
            </w:pPr>
            <w:r>
              <w:rPr>
                <w:rFonts w:hint="eastAsia"/>
                <w:b/>
                <w:bCs/>
                <w:sz w:val="21"/>
                <w:szCs w:val="21"/>
              </w:rPr>
              <w:t>3.《云南省滇池保护条例》</w:t>
            </w:r>
            <w:r>
              <w:rPr>
                <w:b/>
                <w:bCs/>
                <w:sz w:val="21"/>
                <w:szCs w:val="21"/>
              </w:rPr>
              <w:t>（2026修订版）</w:t>
            </w:r>
            <w:r>
              <w:rPr>
                <w:rFonts w:hint="eastAsia"/>
                <w:b/>
                <w:bCs/>
                <w:sz w:val="21"/>
                <w:szCs w:val="21"/>
              </w:rPr>
              <w:t>第二十七条第一项 绿色发展区禁止下列行为：</w:t>
            </w:r>
          </w:p>
          <w:p w14:paraId="6F6EC977">
            <w:pPr>
              <w:pStyle w:val="20"/>
              <w:autoSpaceDE w:val="0"/>
              <w:autoSpaceDN w:val="0"/>
              <w:adjustRightInd w:val="0"/>
              <w:snapToGrid w:val="0"/>
              <w:spacing w:before="20" w:after="20" w:line="300" w:lineRule="auto"/>
              <w:ind w:left="0" w:right="0" w:rightChars="0" w:firstLine="0"/>
              <w:textAlignment w:val="baseline"/>
              <w:rPr>
                <w:rFonts w:hint="eastAsia"/>
                <w:b/>
                <w:bCs/>
                <w:sz w:val="21"/>
                <w:szCs w:val="21"/>
              </w:rPr>
            </w:pPr>
            <w:r>
              <w:rPr>
                <w:rFonts w:hint="eastAsia"/>
                <w:b/>
                <w:bCs/>
                <w:sz w:val="21"/>
                <w:szCs w:val="21"/>
              </w:rPr>
              <w:t>（一）</w:t>
            </w:r>
            <w:r>
              <w:rPr>
                <w:b/>
                <w:bCs/>
                <w:sz w:val="21"/>
                <w:szCs w:val="21"/>
              </w:rPr>
              <w:t>通过暗管、渗井、渗坑、灌注、裂隙、溶洞、篡改或者伪造监测数据、以逃避现场检查为目的的临时停产、非紧急情况下开启应急排放通道、不正常运行污染防治设施等逃避监管的方式排放污染物</w:t>
            </w:r>
            <w:r>
              <w:rPr>
                <w:rFonts w:hint="eastAsia"/>
                <w:b/>
                <w:bCs/>
                <w:sz w:val="21"/>
                <w:szCs w:val="21"/>
              </w:rPr>
              <w:t>；</w:t>
            </w:r>
          </w:p>
          <w:p w14:paraId="74B6B837">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rFonts w:hint="eastAsia"/>
                <w:b/>
                <w:bCs/>
                <w:color w:val="000000"/>
                <w:sz w:val="21"/>
                <w:szCs w:val="21"/>
              </w:rPr>
              <w:t>4.《昆明市大气污染防治条例》</w:t>
            </w:r>
            <w:r>
              <w:rPr>
                <w:b/>
                <w:bCs/>
                <w:color w:val="000000"/>
                <w:sz w:val="21"/>
                <w:szCs w:val="21"/>
              </w:rPr>
              <w:t>（2026修订版）</w:t>
            </w:r>
            <w:r>
              <w:rPr>
                <w:rFonts w:hint="eastAsia"/>
                <w:b/>
                <w:bCs/>
                <w:color w:val="000000"/>
                <w:sz w:val="21"/>
                <w:szCs w:val="21"/>
              </w:rPr>
              <w:t xml:space="preserve">第十六条第二款 </w:t>
            </w:r>
            <w:r>
              <w:rPr>
                <w:b/>
                <w:bCs/>
                <w:color w:val="000000"/>
                <w:sz w:val="21"/>
                <w:szCs w:val="21"/>
              </w:rPr>
              <w:t>禁止通过暗管、渗井、渗坑、灌注、裂隙、溶洞、篡改或者伪造监测数据、以逃避现场检查为目的的临时停产、非紧急情况下开启应急排放通道、不正常运行大气污染防治设施等逃避监管的方式排放大气污染物。</w:t>
            </w:r>
          </w:p>
        </w:tc>
      </w:tr>
      <w:tr w14:paraId="4AC8D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1" w:type="pct"/>
            <w:noWrap w:val="0"/>
            <w:tcMar>
              <w:top w:w="0" w:type="dxa"/>
              <w:left w:w="57" w:type="dxa"/>
              <w:bottom w:w="0" w:type="dxa"/>
              <w:right w:w="57" w:type="dxa"/>
            </w:tcMar>
            <w:vAlign w:val="center"/>
          </w:tcPr>
          <w:p w14:paraId="6E326781">
            <w:pPr>
              <w:spacing w:before="20" w:after="20" w:line="300" w:lineRule="auto"/>
              <w:jc w:val="center"/>
              <w:rPr>
                <w:rFonts w:hint="eastAsia"/>
                <w:b/>
              </w:rPr>
            </w:pPr>
            <w:r>
              <w:rPr>
                <w:b/>
              </w:rPr>
              <w:t>处罚依据</w:t>
            </w:r>
          </w:p>
        </w:tc>
        <w:tc>
          <w:tcPr>
            <w:tcW w:w="4369" w:type="pct"/>
            <w:gridSpan w:val="2"/>
            <w:noWrap w:val="0"/>
            <w:tcMar>
              <w:top w:w="0" w:type="dxa"/>
              <w:left w:w="57" w:type="dxa"/>
              <w:bottom w:w="0" w:type="dxa"/>
              <w:right w:w="57" w:type="dxa"/>
            </w:tcMar>
            <w:vAlign w:val="top"/>
          </w:tcPr>
          <w:p w14:paraId="0E2EFF93">
            <w:pPr>
              <w:spacing w:before="20" w:after="20" w:line="300" w:lineRule="auto"/>
              <w:rPr>
                <w:rFonts w:hint="eastAsia" w:ascii="宋体" w:hAnsi="宋体" w:eastAsia="宋体" w:cs="宋体"/>
                <w:kern w:val="0"/>
                <w:sz w:val="21"/>
                <w:szCs w:val="21"/>
              </w:rPr>
            </w:pPr>
            <w:r>
              <w:rPr>
                <w:rFonts w:ascii="宋体" w:hAnsi="宋体" w:eastAsia="宋体" w:cs="宋体"/>
                <w:kern w:val="0"/>
                <w:sz w:val="21"/>
                <w:szCs w:val="21"/>
              </w:rPr>
              <w:t>1.《中华人民共和国生态环境法典》第一千一百零八条</w:t>
            </w:r>
            <w:r>
              <w:rPr>
                <w:rFonts w:hint="eastAsia" w:ascii="宋体" w:hAnsi="宋体" w:eastAsia="宋体" w:cs="宋体"/>
                <w:kern w:val="0"/>
                <w:sz w:val="21"/>
                <w:szCs w:val="21"/>
              </w:rPr>
              <w:t xml:space="preserve"> </w:t>
            </w:r>
            <w:r>
              <w:rPr>
                <w:rFonts w:ascii="宋体" w:hAnsi="宋体" w:eastAsia="宋体" w:cs="宋体"/>
                <w:kern w:val="0"/>
                <w:sz w:val="21"/>
                <w:szCs w:val="21"/>
              </w:rPr>
              <w:t>违反本法规定，通过暗管、渗井、渗坑、灌注、裂隙、溶洞、篡改或者伪造监测数据、以逃避现场检查为目的的临时停产、非紧急情况下开启应急排放通道、不正常运行污染防治设施等逃避监管的方式排放污染物的，由生态环境主管部门责令改正，处十万元以上一百万元以下的罚款，责令限制生产、停产整治，并将案件移送公安机关，由公安机关对其直接负责的主管人员和其他直接责任人员，处五日以上十日以下拘留；情节严重的，吊销排污许可证，报经有批准权的地方人民政府批准，责令停业、关闭，并由公安机关对其直接负责的主管人员和其他直接责任人员，处十日以上十五日以下拘留。</w:t>
            </w:r>
            <w:r>
              <w:rPr>
                <w:rFonts w:hint="eastAsia" w:ascii="宋体" w:hAnsi="宋体" w:eastAsia="宋体" w:cs="宋体"/>
                <w:kern w:val="0"/>
                <w:sz w:val="21"/>
                <w:szCs w:val="21"/>
              </w:rPr>
              <w:t>2</w:t>
            </w:r>
            <w:r>
              <w:rPr>
                <w:rFonts w:ascii="宋体" w:hAnsi="宋体" w:eastAsia="宋体" w:cs="宋体"/>
                <w:kern w:val="0"/>
                <w:sz w:val="21"/>
                <w:szCs w:val="21"/>
              </w:rPr>
              <w:t>.</w:t>
            </w:r>
            <w:r>
              <w:rPr>
                <w:rFonts w:hint="eastAsia" w:ascii="宋体" w:hAnsi="宋体" w:eastAsia="宋体" w:cs="宋体"/>
                <w:kern w:val="0"/>
                <w:sz w:val="21"/>
                <w:szCs w:val="21"/>
              </w:rPr>
              <w:t>《排污许可管理条例》</w:t>
            </w:r>
            <w:r>
              <w:rPr>
                <w:rFonts w:ascii="宋体" w:hAnsi="宋体" w:eastAsia="宋体" w:cs="宋体"/>
                <w:kern w:val="0"/>
                <w:sz w:val="21"/>
                <w:szCs w:val="21"/>
              </w:rPr>
              <w:t>第三十四条</w:t>
            </w:r>
            <w:r>
              <w:rPr>
                <w:rFonts w:hint="eastAsia" w:ascii="宋体" w:hAnsi="宋体" w:eastAsia="宋体" w:cs="宋体"/>
                <w:kern w:val="0"/>
                <w:sz w:val="21"/>
                <w:szCs w:val="21"/>
              </w:rPr>
              <w:t>第二项</w:t>
            </w:r>
            <w:r>
              <w:rPr>
                <w:rFonts w:ascii="宋体" w:hAnsi="宋体" w:eastAsia="宋体" w:cs="宋体"/>
                <w:kern w:val="0"/>
                <w:sz w:val="21"/>
                <w:szCs w:val="21"/>
              </w:rPr>
              <w:t xml:space="preserve"> 违反本条例规定，排污单位有下列行为之一的，由生态环境主管部门责令改正或者限制生产、停产整治，处20万元以上100万元以下的罚款；情节严重的，吊销排污许可证，报经有批准权的人民政府批准，责令停业、关闭：</w:t>
            </w:r>
          </w:p>
          <w:p w14:paraId="6534EEB3">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（二）通过暗管、渗井、渗坑、灌注或者篡改、伪造监测数据，或者不正常运行污染防治设施等</w:t>
            </w:r>
            <w:bookmarkStart w:id="18" w:name="FunCunProofread640954"/>
            <w:r>
              <w:rPr>
                <w:sz w:val="21"/>
                <w:szCs w:val="21"/>
              </w:rPr>
              <w:t>逃避监管</w:t>
            </w:r>
            <w:bookmarkEnd w:id="18"/>
            <w:r>
              <w:rPr>
                <w:sz w:val="21"/>
                <w:szCs w:val="21"/>
              </w:rPr>
              <w:t>的方式违法排放污染物。</w:t>
            </w:r>
          </w:p>
          <w:p w14:paraId="40E55DBB">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第四十四条</w:t>
            </w:r>
            <w:r>
              <w:rPr>
                <w:rFonts w:hint="eastAsia"/>
                <w:sz w:val="21"/>
                <w:szCs w:val="21"/>
              </w:rPr>
              <w:t>第二项</w:t>
            </w:r>
            <w:r>
              <w:rPr>
                <w:sz w:val="21"/>
                <w:szCs w:val="21"/>
              </w:rPr>
              <w:t xml:space="preserve"> 排污单位有下列行为之一，尚不构成犯罪的，除依照本条例规定予以处罚外，对其直接负责的主管人员和其他直接责任人员，依照《中华人民共和国环境保护法》的规定处以拘留：</w:t>
            </w:r>
          </w:p>
          <w:p w14:paraId="520E4DB9">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（二）通过暗管、渗井、渗坑、灌注或者篡改、伪造监测数据，或者不正常运行污染防治设施等</w:t>
            </w:r>
            <w:bookmarkStart w:id="19" w:name="FunCunProofread642424"/>
            <w:r>
              <w:rPr>
                <w:sz w:val="21"/>
                <w:szCs w:val="21"/>
              </w:rPr>
              <w:t>逃避监管</w:t>
            </w:r>
            <w:bookmarkEnd w:id="19"/>
            <w:r>
              <w:rPr>
                <w:sz w:val="21"/>
                <w:szCs w:val="21"/>
              </w:rPr>
              <w:t>的方式违法排放污染物。</w:t>
            </w:r>
          </w:p>
          <w:p w14:paraId="520125E8">
            <w:pPr>
              <w:pStyle w:val="20"/>
              <w:autoSpaceDE w:val="0"/>
              <w:autoSpaceDN w:val="0"/>
              <w:adjustRightInd w:val="0"/>
              <w:snapToGrid w:val="0"/>
              <w:spacing w:before="20" w:after="20" w:line="300" w:lineRule="auto"/>
              <w:ind w:left="0" w:right="0" w:rightChars="0" w:firstLine="0"/>
              <w:textAlignment w:val="baseline"/>
              <w:rPr>
                <w:rFonts w:hint="eastAsia"/>
                <w:b/>
                <w:bCs/>
                <w:sz w:val="21"/>
                <w:szCs w:val="21"/>
              </w:rPr>
            </w:pPr>
            <w:r>
              <w:rPr>
                <w:rFonts w:hint="eastAsia"/>
                <w:b/>
                <w:bCs/>
                <w:sz w:val="21"/>
                <w:szCs w:val="21"/>
              </w:rPr>
              <w:t>3</w:t>
            </w:r>
            <w:r>
              <w:rPr>
                <w:b/>
                <w:bCs/>
                <w:sz w:val="21"/>
                <w:szCs w:val="21"/>
              </w:rPr>
              <w:t>.《云南省滇池保护条例》（2026修订版）第八十条第二款 违反本条例第二十七条第一项至第六项规定的，由生态环境主管部门依法查处。</w:t>
            </w:r>
          </w:p>
          <w:p w14:paraId="7693D327">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p>
        </w:tc>
      </w:tr>
      <w:tr w14:paraId="28E25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1" w:type="pct"/>
            <w:noWrap w:val="0"/>
            <w:tcMar>
              <w:top w:w="0" w:type="dxa"/>
              <w:left w:w="57" w:type="dxa"/>
              <w:bottom w:w="0" w:type="dxa"/>
              <w:right w:w="57" w:type="dxa"/>
            </w:tcMar>
            <w:vAlign w:val="center"/>
          </w:tcPr>
          <w:p w14:paraId="2ECEA53F">
            <w:pPr>
              <w:spacing w:before="20" w:after="20" w:line="300" w:lineRule="auto"/>
              <w:jc w:val="center"/>
              <w:rPr>
                <w:rFonts w:hint="eastAsia"/>
                <w:b/>
              </w:rPr>
            </w:pPr>
            <w:r>
              <w:rPr>
                <w:b/>
              </w:rPr>
              <w:t>裁量因素</w:t>
            </w:r>
          </w:p>
        </w:tc>
        <w:tc>
          <w:tcPr>
            <w:tcW w:w="3703" w:type="pct"/>
            <w:noWrap w:val="0"/>
            <w:tcMar>
              <w:top w:w="0" w:type="dxa"/>
              <w:left w:w="57" w:type="dxa"/>
              <w:bottom w:w="0" w:type="dxa"/>
              <w:right w:w="57" w:type="dxa"/>
            </w:tcMar>
            <w:vAlign w:val="center"/>
          </w:tcPr>
          <w:p w14:paraId="7EC0C412">
            <w:pPr>
              <w:spacing w:before="20" w:after="20" w:line="300" w:lineRule="auto"/>
              <w:jc w:val="center"/>
              <w:rPr>
                <w:rFonts w:hint="eastAsia"/>
                <w:b/>
              </w:rPr>
            </w:pPr>
            <w:r>
              <w:rPr>
                <w:b/>
              </w:rPr>
              <w:t>裁量因子</w:t>
            </w:r>
          </w:p>
        </w:tc>
        <w:tc>
          <w:tcPr>
            <w:tcW w:w="666" w:type="pct"/>
            <w:noWrap w:val="0"/>
            <w:tcMar>
              <w:top w:w="0" w:type="dxa"/>
              <w:left w:w="57" w:type="dxa"/>
              <w:bottom w:w="0" w:type="dxa"/>
              <w:right w:w="57" w:type="dxa"/>
            </w:tcMar>
            <w:vAlign w:val="center"/>
          </w:tcPr>
          <w:p w14:paraId="524D5AB1">
            <w:pPr>
              <w:spacing w:before="20" w:after="20" w:line="300" w:lineRule="auto"/>
              <w:jc w:val="center"/>
              <w:rPr>
                <w:rFonts w:hint="eastAsia"/>
                <w:b/>
              </w:rPr>
            </w:pPr>
            <w:r>
              <w:rPr>
                <w:b/>
              </w:rPr>
              <w:t>裁量等级</w:t>
            </w:r>
          </w:p>
        </w:tc>
      </w:tr>
      <w:tr w14:paraId="4282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31" w:type="pct"/>
            <w:vMerge w:val="restart"/>
            <w:noWrap w:val="0"/>
            <w:tcMar>
              <w:top w:w="0" w:type="dxa"/>
              <w:left w:w="57" w:type="dxa"/>
              <w:bottom w:w="0" w:type="dxa"/>
              <w:right w:w="57" w:type="dxa"/>
            </w:tcMar>
            <w:vAlign w:val="center"/>
          </w:tcPr>
          <w:p w14:paraId="701A1237">
            <w:pPr>
              <w:spacing w:before="20" w:after="20" w:line="300" w:lineRule="auto"/>
              <w:jc w:val="center"/>
              <w:rPr>
                <w:rFonts w:hint="eastAsia"/>
                <w:b/>
              </w:rPr>
            </w:pPr>
            <w:r>
              <w:rPr>
                <w:b/>
              </w:rPr>
              <w:t>排放去向或</w:t>
            </w:r>
          </w:p>
          <w:p w14:paraId="610FFFA6">
            <w:pPr>
              <w:spacing w:before="20" w:after="20" w:line="300" w:lineRule="auto"/>
              <w:jc w:val="center"/>
              <w:rPr>
                <w:rFonts w:hint="eastAsia" w:ascii="宋体" w:hAnsi="宋体" w:cs="宋体"/>
                <w:sz w:val="21"/>
                <w:szCs w:val="21"/>
              </w:rPr>
            </w:pPr>
            <w:r>
              <w:rPr>
                <w:b/>
              </w:rPr>
              <w:t>区域</w:t>
            </w:r>
          </w:p>
        </w:tc>
        <w:tc>
          <w:tcPr>
            <w:tcW w:w="3703" w:type="pct"/>
            <w:noWrap w:val="0"/>
            <w:tcMar>
              <w:top w:w="0" w:type="dxa"/>
              <w:left w:w="57" w:type="dxa"/>
              <w:bottom w:w="0" w:type="dxa"/>
              <w:right w:w="57" w:type="dxa"/>
            </w:tcMar>
            <w:vAlign w:val="center"/>
          </w:tcPr>
          <w:p w14:paraId="78A68666">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rFonts w:hint="eastAsia"/>
                <w:sz w:val="21"/>
                <w:szCs w:val="21"/>
              </w:rPr>
              <w:t>环境空气二</w:t>
            </w:r>
            <w:r>
              <w:rPr>
                <w:sz w:val="21"/>
                <w:szCs w:val="21"/>
              </w:rPr>
              <w:t>类功能区（特定化工园区）/V类水体或污水集中处理设施</w:t>
            </w:r>
          </w:p>
        </w:tc>
        <w:tc>
          <w:tcPr>
            <w:tcW w:w="666" w:type="pct"/>
            <w:noWrap w:val="0"/>
            <w:tcMar>
              <w:top w:w="0" w:type="dxa"/>
              <w:left w:w="57" w:type="dxa"/>
              <w:bottom w:w="0" w:type="dxa"/>
              <w:right w:w="57" w:type="dxa"/>
            </w:tcMar>
            <w:vAlign w:val="center"/>
          </w:tcPr>
          <w:p w14:paraId="2F47B926">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1</w:t>
            </w:r>
          </w:p>
        </w:tc>
      </w:tr>
      <w:tr w14:paraId="4C7EC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31" w:type="pct"/>
            <w:vMerge w:val="continue"/>
            <w:noWrap w:val="0"/>
            <w:tcMar>
              <w:top w:w="0" w:type="dxa"/>
              <w:left w:w="57" w:type="dxa"/>
              <w:bottom w:w="0" w:type="dxa"/>
              <w:right w:w="57" w:type="dxa"/>
            </w:tcMar>
            <w:vAlign w:val="center"/>
          </w:tcPr>
          <w:p w14:paraId="473E9AB9">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p>
        </w:tc>
        <w:tc>
          <w:tcPr>
            <w:tcW w:w="3703" w:type="pct"/>
            <w:noWrap w:val="0"/>
            <w:tcMar>
              <w:top w:w="0" w:type="dxa"/>
              <w:left w:w="57" w:type="dxa"/>
              <w:bottom w:w="0" w:type="dxa"/>
              <w:right w:w="57" w:type="dxa"/>
            </w:tcMar>
            <w:vAlign w:val="center"/>
          </w:tcPr>
          <w:p w14:paraId="0B8E9289">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rFonts w:hint="eastAsia"/>
                <w:sz w:val="21"/>
                <w:szCs w:val="21"/>
              </w:rPr>
              <w:t>环境空气</w:t>
            </w:r>
            <w:r>
              <w:rPr>
                <w:sz w:val="21"/>
                <w:szCs w:val="21"/>
              </w:rPr>
              <w:t>二类功能区（工业区）/Ⅳ类水体</w:t>
            </w:r>
          </w:p>
        </w:tc>
        <w:tc>
          <w:tcPr>
            <w:tcW w:w="666" w:type="pct"/>
            <w:noWrap w:val="0"/>
            <w:tcMar>
              <w:top w:w="0" w:type="dxa"/>
              <w:left w:w="57" w:type="dxa"/>
              <w:bottom w:w="0" w:type="dxa"/>
              <w:right w:w="57" w:type="dxa"/>
            </w:tcMar>
            <w:vAlign w:val="center"/>
          </w:tcPr>
          <w:p w14:paraId="3491FAA9">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2</w:t>
            </w:r>
          </w:p>
        </w:tc>
      </w:tr>
      <w:tr w14:paraId="7D65F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31" w:type="pct"/>
            <w:vMerge w:val="continue"/>
            <w:noWrap w:val="0"/>
            <w:tcMar>
              <w:top w:w="0" w:type="dxa"/>
              <w:left w:w="57" w:type="dxa"/>
              <w:bottom w:w="0" w:type="dxa"/>
              <w:right w:w="57" w:type="dxa"/>
            </w:tcMar>
            <w:vAlign w:val="center"/>
          </w:tcPr>
          <w:p w14:paraId="403F1E22">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p>
        </w:tc>
        <w:tc>
          <w:tcPr>
            <w:tcW w:w="3703" w:type="pct"/>
            <w:noWrap w:val="0"/>
            <w:tcMar>
              <w:top w:w="0" w:type="dxa"/>
              <w:left w:w="57" w:type="dxa"/>
              <w:bottom w:w="0" w:type="dxa"/>
              <w:right w:w="57" w:type="dxa"/>
            </w:tcMar>
            <w:vAlign w:val="center"/>
          </w:tcPr>
          <w:p w14:paraId="118AF88C">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rFonts w:hint="eastAsia"/>
                <w:sz w:val="21"/>
                <w:szCs w:val="21"/>
              </w:rPr>
              <w:t>环境空气</w:t>
            </w:r>
            <w:r>
              <w:rPr>
                <w:sz w:val="21"/>
                <w:szCs w:val="21"/>
              </w:rPr>
              <w:t>二类功能区（非工业区）/Ⅲ类水体</w:t>
            </w:r>
          </w:p>
        </w:tc>
        <w:tc>
          <w:tcPr>
            <w:tcW w:w="666" w:type="pct"/>
            <w:noWrap w:val="0"/>
            <w:tcMar>
              <w:top w:w="0" w:type="dxa"/>
              <w:left w:w="57" w:type="dxa"/>
              <w:bottom w:w="0" w:type="dxa"/>
              <w:right w:w="57" w:type="dxa"/>
            </w:tcMar>
            <w:vAlign w:val="center"/>
          </w:tcPr>
          <w:p w14:paraId="6541AA2A">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3</w:t>
            </w:r>
          </w:p>
        </w:tc>
      </w:tr>
      <w:tr w14:paraId="2C2EE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31" w:type="pct"/>
            <w:vMerge w:val="continue"/>
            <w:noWrap w:val="0"/>
            <w:tcMar>
              <w:top w:w="0" w:type="dxa"/>
              <w:left w:w="57" w:type="dxa"/>
              <w:bottom w:w="0" w:type="dxa"/>
              <w:right w:w="57" w:type="dxa"/>
            </w:tcMar>
            <w:vAlign w:val="center"/>
          </w:tcPr>
          <w:p w14:paraId="539EC3B0">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p>
        </w:tc>
        <w:tc>
          <w:tcPr>
            <w:tcW w:w="3703" w:type="pct"/>
            <w:noWrap w:val="0"/>
            <w:tcMar>
              <w:top w:w="0" w:type="dxa"/>
              <w:left w:w="57" w:type="dxa"/>
              <w:bottom w:w="0" w:type="dxa"/>
              <w:right w:w="57" w:type="dxa"/>
            </w:tcMar>
            <w:vAlign w:val="center"/>
          </w:tcPr>
          <w:p w14:paraId="29C5356D">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rFonts w:hint="eastAsia"/>
                <w:sz w:val="21"/>
                <w:szCs w:val="21"/>
              </w:rPr>
              <w:t>环境空气</w:t>
            </w:r>
            <w:r>
              <w:rPr>
                <w:sz w:val="21"/>
                <w:szCs w:val="21"/>
              </w:rPr>
              <w:t>二类功能区（居住区）/I、Ⅱ类水体</w:t>
            </w:r>
          </w:p>
        </w:tc>
        <w:tc>
          <w:tcPr>
            <w:tcW w:w="666" w:type="pct"/>
            <w:noWrap w:val="0"/>
            <w:tcMar>
              <w:top w:w="0" w:type="dxa"/>
              <w:left w:w="57" w:type="dxa"/>
              <w:bottom w:w="0" w:type="dxa"/>
              <w:right w:w="57" w:type="dxa"/>
            </w:tcMar>
            <w:vAlign w:val="center"/>
          </w:tcPr>
          <w:p w14:paraId="64A4E0C1">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4</w:t>
            </w:r>
          </w:p>
        </w:tc>
      </w:tr>
      <w:tr w14:paraId="33300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31" w:type="pct"/>
            <w:vMerge w:val="continue"/>
            <w:noWrap w:val="0"/>
            <w:tcMar>
              <w:top w:w="0" w:type="dxa"/>
              <w:left w:w="57" w:type="dxa"/>
              <w:bottom w:w="0" w:type="dxa"/>
              <w:right w:w="57" w:type="dxa"/>
            </w:tcMar>
            <w:vAlign w:val="center"/>
          </w:tcPr>
          <w:p w14:paraId="2457F3A1">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p>
        </w:tc>
        <w:tc>
          <w:tcPr>
            <w:tcW w:w="3703" w:type="pct"/>
            <w:noWrap w:val="0"/>
            <w:tcMar>
              <w:top w:w="0" w:type="dxa"/>
              <w:left w:w="57" w:type="dxa"/>
              <w:bottom w:w="0" w:type="dxa"/>
              <w:right w:w="57" w:type="dxa"/>
            </w:tcMar>
            <w:vAlign w:val="center"/>
          </w:tcPr>
          <w:p w14:paraId="5B4E94CB">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rFonts w:hint="eastAsia"/>
                <w:sz w:val="21"/>
                <w:szCs w:val="21"/>
              </w:rPr>
              <w:t>环境空气</w:t>
            </w:r>
            <w:r>
              <w:rPr>
                <w:sz w:val="21"/>
                <w:szCs w:val="21"/>
              </w:rPr>
              <w:t>一类功能区/饮用水水源地</w:t>
            </w:r>
          </w:p>
        </w:tc>
        <w:tc>
          <w:tcPr>
            <w:tcW w:w="666" w:type="pct"/>
            <w:noWrap w:val="0"/>
            <w:tcMar>
              <w:top w:w="0" w:type="dxa"/>
              <w:left w:w="57" w:type="dxa"/>
              <w:bottom w:w="0" w:type="dxa"/>
              <w:right w:w="57" w:type="dxa"/>
            </w:tcMar>
            <w:vAlign w:val="center"/>
          </w:tcPr>
          <w:p w14:paraId="71832C8F">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5</w:t>
            </w:r>
          </w:p>
        </w:tc>
      </w:tr>
      <w:tr w14:paraId="0BA00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31" w:type="pct"/>
            <w:vMerge w:val="restart"/>
            <w:noWrap w:val="0"/>
            <w:tcMar>
              <w:top w:w="0" w:type="dxa"/>
              <w:left w:w="57" w:type="dxa"/>
              <w:bottom w:w="0" w:type="dxa"/>
              <w:right w:w="57" w:type="dxa"/>
            </w:tcMar>
            <w:vAlign w:val="center"/>
          </w:tcPr>
          <w:p w14:paraId="68D42B7D">
            <w:pPr>
              <w:spacing w:before="20" w:after="20" w:line="300" w:lineRule="auto"/>
              <w:jc w:val="center"/>
              <w:rPr>
                <w:rFonts w:hint="eastAsia"/>
                <w:b/>
              </w:rPr>
            </w:pPr>
            <w:r>
              <w:rPr>
                <w:b/>
              </w:rPr>
              <w:t>废气类别</w:t>
            </w:r>
          </w:p>
        </w:tc>
        <w:tc>
          <w:tcPr>
            <w:tcW w:w="3703" w:type="pct"/>
            <w:noWrap w:val="0"/>
            <w:tcMar>
              <w:top w:w="0" w:type="dxa"/>
              <w:left w:w="57" w:type="dxa"/>
              <w:bottom w:w="0" w:type="dxa"/>
              <w:right w:w="57" w:type="dxa"/>
            </w:tcMar>
            <w:vAlign w:val="center"/>
          </w:tcPr>
          <w:p w14:paraId="1A297012">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餐饮油烟（经营）</w:t>
            </w:r>
          </w:p>
        </w:tc>
        <w:tc>
          <w:tcPr>
            <w:tcW w:w="666" w:type="pct"/>
            <w:noWrap w:val="0"/>
            <w:tcMar>
              <w:top w:w="0" w:type="dxa"/>
              <w:left w:w="57" w:type="dxa"/>
              <w:bottom w:w="0" w:type="dxa"/>
              <w:right w:w="57" w:type="dxa"/>
            </w:tcMar>
            <w:vAlign w:val="center"/>
          </w:tcPr>
          <w:p w14:paraId="708BD420">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1</w:t>
            </w:r>
          </w:p>
        </w:tc>
      </w:tr>
      <w:tr w14:paraId="47BA4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31" w:type="pct"/>
            <w:vMerge w:val="continue"/>
            <w:noWrap w:val="0"/>
            <w:tcMar>
              <w:top w:w="0" w:type="dxa"/>
              <w:left w:w="57" w:type="dxa"/>
              <w:bottom w:w="0" w:type="dxa"/>
              <w:right w:w="57" w:type="dxa"/>
            </w:tcMar>
            <w:vAlign w:val="center"/>
          </w:tcPr>
          <w:p w14:paraId="1A4D6276">
            <w:pPr>
              <w:pStyle w:val="20"/>
              <w:autoSpaceDE w:val="0"/>
              <w:autoSpaceDN w:val="0"/>
              <w:adjustRightInd w:val="0"/>
              <w:snapToGrid w:val="0"/>
              <w:spacing w:before="20" w:after="20" w:line="300" w:lineRule="auto"/>
              <w:ind w:left="0" w:right="0" w:rightChars="0" w:firstLine="0"/>
              <w:jc w:val="center"/>
              <w:textAlignment w:val="baseline"/>
              <w:rPr>
                <w:rFonts w:hint="eastAsia"/>
                <w:sz w:val="21"/>
                <w:szCs w:val="21"/>
              </w:rPr>
            </w:pPr>
          </w:p>
        </w:tc>
        <w:tc>
          <w:tcPr>
            <w:tcW w:w="3703" w:type="pct"/>
            <w:noWrap w:val="0"/>
            <w:tcMar>
              <w:top w:w="0" w:type="dxa"/>
              <w:left w:w="57" w:type="dxa"/>
              <w:bottom w:w="0" w:type="dxa"/>
              <w:right w:w="57" w:type="dxa"/>
            </w:tcMar>
            <w:vAlign w:val="center"/>
          </w:tcPr>
          <w:p w14:paraId="0F6D6B17">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农业生产</w:t>
            </w:r>
            <w:r>
              <w:rPr>
                <w:rFonts w:hint="eastAsia"/>
                <w:sz w:val="21"/>
                <w:szCs w:val="21"/>
              </w:rPr>
              <w:t>废气</w:t>
            </w:r>
            <w:r>
              <w:rPr>
                <w:sz w:val="21"/>
                <w:szCs w:val="21"/>
              </w:rPr>
              <w:t>/畜禽养殖废气/工地扬尘/机械、汽车修理废气</w:t>
            </w:r>
          </w:p>
        </w:tc>
        <w:tc>
          <w:tcPr>
            <w:tcW w:w="666" w:type="pct"/>
            <w:noWrap w:val="0"/>
            <w:tcMar>
              <w:top w:w="0" w:type="dxa"/>
              <w:left w:w="57" w:type="dxa"/>
              <w:bottom w:w="0" w:type="dxa"/>
              <w:right w:w="57" w:type="dxa"/>
            </w:tcMar>
            <w:vAlign w:val="center"/>
          </w:tcPr>
          <w:p w14:paraId="436952D3">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2</w:t>
            </w:r>
          </w:p>
        </w:tc>
      </w:tr>
      <w:tr w14:paraId="161AA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31" w:type="pct"/>
            <w:vMerge w:val="continue"/>
            <w:noWrap w:val="0"/>
            <w:tcMar>
              <w:top w:w="0" w:type="dxa"/>
              <w:left w:w="57" w:type="dxa"/>
              <w:bottom w:w="0" w:type="dxa"/>
              <w:right w:w="57" w:type="dxa"/>
            </w:tcMar>
            <w:vAlign w:val="center"/>
          </w:tcPr>
          <w:p w14:paraId="40ABCBD9">
            <w:pPr>
              <w:pStyle w:val="20"/>
              <w:autoSpaceDE w:val="0"/>
              <w:autoSpaceDN w:val="0"/>
              <w:adjustRightInd w:val="0"/>
              <w:snapToGrid w:val="0"/>
              <w:spacing w:before="20" w:after="20" w:line="300" w:lineRule="auto"/>
              <w:ind w:left="0" w:right="0" w:rightChars="0" w:firstLine="0"/>
              <w:jc w:val="center"/>
              <w:textAlignment w:val="baseline"/>
              <w:rPr>
                <w:rFonts w:hint="eastAsia"/>
                <w:sz w:val="21"/>
                <w:szCs w:val="21"/>
              </w:rPr>
            </w:pPr>
          </w:p>
        </w:tc>
        <w:tc>
          <w:tcPr>
            <w:tcW w:w="3703" w:type="pct"/>
            <w:noWrap w:val="0"/>
            <w:tcMar>
              <w:top w:w="0" w:type="dxa"/>
              <w:left w:w="57" w:type="dxa"/>
              <w:bottom w:w="0" w:type="dxa"/>
              <w:right w:w="57" w:type="dxa"/>
            </w:tcMar>
            <w:vAlign w:val="center"/>
          </w:tcPr>
          <w:p w14:paraId="79D5301A">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一般工业废气/含恶臭污染物的废气</w:t>
            </w:r>
            <w:r>
              <w:rPr>
                <w:rFonts w:hint="eastAsia"/>
                <w:sz w:val="21"/>
                <w:szCs w:val="21"/>
              </w:rPr>
              <w:t>（除</w:t>
            </w:r>
            <w:r>
              <w:rPr>
                <w:sz w:val="21"/>
                <w:szCs w:val="21"/>
              </w:rPr>
              <w:t>畜禽养殖</w:t>
            </w:r>
            <w:r>
              <w:rPr>
                <w:rFonts w:hint="eastAsia"/>
                <w:sz w:val="21"/>
                <w:szCs w:val="21"/>
              </w:rPr>
              <w:t>废气）</w:t>
            </w:r>
            <w:r>
              <w:rPr>
                <w:sz w:val="21"/>
                <w:szCs w:val="21"/>
              </w:rPr>
              <w:t>/医疗废气/实验室废气</w:t>
            </w:r>
          </w:p>
        </w:tc>
        <w:tc>
          <w:tcPr>
            <w:tcW w:w="666" w:type="pct"/>
            <w:noWrap w:val="0"/>
            <w:tcMar>
              <w:top w:w="0" w:type="dxa"/>
              <w:left w:w="57" w:type="dxa"/>
              <w:bottom w:w="0" w:type="dxa"/>
              <w:right w:w="57" w:type="dxa"/>
            </w:tcMar>
            <w:vAlign w:val="center"/>
          </w:tcPr>
          <w:p w14:paraId="0CBC267F">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3</w:t>
            </w:r>
          </w:p>
        </w:tc>
      </w:tr>
      <w:tr w14:paraId="13F55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31" w:type="pct"/>
            <w:vMerge w:val="continue"/>
            <w:noWrap w:val="0"/>
            <w:tcMar>
              <w:top w:w="0" w:type="dxa"/>
              <w:left w:w="57" w:type="dxa"/>
              <w:bottom w:w="0" w:type="dxa"/>
              <w:right w:w="57" w:type="dxa"/>
            </w:tcMar>
            <w:vAlign w:val="center"/>
          </w:tcPr>
          <w:p w14:paraId="5A220B84">
            <w:pPr>
              <w:pStyle w:val="20"/>
              <w:autoSpaceDE w:val="0"/>
              <w:autoSpaceDN w:val="0"/>
              <w:adjustRightInd w:val="0"/>
              <w:snapToGrid w:val="0"/>
              <w:spacing w:before="20" w:after="20" w:line="300" w:lineRule="auto"/>
              <w:ind w:left="0" w:right="0" w:rightChars="0" w:firstLine="0"/>
              <w:jc w:val="center"/>
              <w:textAlignment w:val="baseline"/>
              <w:rPr>
                <w:rFonts w:hint="eastAsia"/>
                <w:sz w:val="21"/>
                <w:szCs w:val="21"/>
              </w:rPr>
            </w:pPr>
          </w:p>
        </w:tc>
        <w:tc>
          <w:tcPr>
            <w:tcW w:w="3703" w:type="pct"/>
            <w:noWrap w:val="0"/>
            <w:tcMar>
              <w:top w:w="0" w:type="dxa"/>
              <w:left w:w="57" w:type="dxa"/>
              <w:bottom w:w="0" w:type="dxa"/>
              <w:right w:w="57" w:type="dxa"/>
            </w:tcMar>
            <w:vAlign w:val="center"/>
          </w:tcPr>
          <w:p w14:paraId="2F1715B6">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火电、钢铁、石化、水泥、炼焦、有色、化工废气、烟尘/燃煤锅炉废气、烟尘</w:t>
            </w:r>
          </w:p>
        </w:tc>
        <w:tc>
          <w:tcPr>
            <w:tcW w:w="666" w:type="pct"/>
            <w:noWrap w:val="0"/>
            <w:tcMar>
              <w:top w:w="0" w:type="dxa"/>
              <w:left w:w="57" w:type="dxa"/>
              <w:bottom w:w="0" w:type="dxa"/>
              <w:right w:w="57" w:type="dxa"/>
            </w:tcMar>
            <w:vAlign w:val="center"/>
          </w:tcPr>
          <w:p w14:paraId="127532A4">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4</w:t>
            </w:r>
          </w:p>
        </w:tc>
      </w:tr>
      <w:tr w14:paraId="6F81D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31" w:type="pct"/>
            <w:vMerge w:val="continue"/>
            <w:noWrap w:val="0"/>
            <w:tcMar>
              <w:top w:w="0" w:type="dxa"/>
              <w:left w:w="57" w:type="dxa"/>
              <w:bottom w:w="0" w:type="dxa"/>
              <w:right w:w="57" w:type="dxa"/>
            </w:tcMar>
            <w:vAlign w:val="center"/>
          </w:tcPr>
          <w:p w14:paraId="54A33526">
            <w:pPr>
              <w:pStyle w:val="20"/>
              <w:autoSpaceDE w:val="0"/>
              <w:autoSpaceDN w:val="0"/>
              <w:adjustRightInd w:val="0"/>
              <w:snapToGrid w:val="0"/>
              <w:spacing w:before="20" w:after="20" w:line="300" w:lineRule="auto"/>
              <w:ind w:left="0" w:right="0" w:rightChars="0" w:firstLine="0"/>
              <w:jc w:val="center"/>
              <w:textAlignment w:val="baseline"/>
              <w:rPr>
                <w:rFonts w:hint="eastAsia"/>
                <w:sz w:val="21"/>
                <w:szCs w:val="21"/>
              </w:rPr>
            </w:pPr>
          </w:p>
        </w:tc>
        <w:tc>
          <w:tcPr>
            <w:tcW w:w="3703" w:type="pct"/>
            <w:noWrap w:val="0"/>
            <w:tcMar>
              <w:top w:w="0" w:type="dxa"/>
              <w:left w:w="57" w:type="dxa"/>
              <w:bottom w:w="0" w:type="dxa"/>
              <w:right w:w="57" w:type="dxa"/>
            </w:tcMar>
            <w:vAlign w:val="center"/>
          </w:tcPr>
          <w:p w14:paraId="1FB36C19">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含</w:t>
            </w:r>
            <w:r>
              <w:rPr>
                <w:rFonts w:hint="eastAsia"/>
                <w:sz w:val="21"/>
                <w:szCs w:val="21"/>
              </w:rPr>
              <w:t>其他</w:t>
            </w:r>
            <w:r>
              <w:rPr>
                <w:sz w:val="21"/>
                <w:szCs w:val="21"/>
              </w:rPr>
              <w:t>有毒有害物质的废气</w:t>
            </w:r>
          </w:p>
        </w:tc>
        <w:tc>
          <w:tcPr>
            <w:tcW w:w="666" w:type="pct"/>
            <w:noWrap w:val="0"/>
            <w:tcMar>
              <w:top w:w="0" w:type="dxa"/>
              <w:left w:w="57" w:type="dxa"/>
              <w:bottom w:w="0" w:type="dxa"/>
              <w:right w:w="57" w:type="dxa"/>
            </w:tcMar>
            <w:vAlign w:val="center"/>
          </w:tcPr>
          <w:p w14:paraId="592D9740">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5</w:t>
            </w:r>
          </w:p>
        </w:tc>
      </w:tr>
      <w:tr w14:paraId="395B4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31" w:type="pct"/>
            <w:vMerge w:val="restart"/>
            <w:noWrap w:val="0"/>
            <w:tcMar>
              <w:top w:w="0" w:type="dxa"/>
              <w:left w:w="57" w:type="dxa"/>
              <w:bottom w:w="0" w:type="dxa"/>
              <w:right w:w="57" w:type="dxa"/>
            </w:tcMar>
            <w:vAlign w:val="center"/>
          </w:tcPr>
          <w:p w14:paraId="1604D0D0">
            <w:pPr>
              <w:spacing w:before="20" w:after="20" w:line="300" w:lineRule="auto"/>
              <w:jc w:val="center"/>
              <w:rPr>
                <w:rFonts w:hint="eastAsia"/>
                <w:b/>
              </w:rPr>
            </w:pPr>
            <w:r>
              <w:rPr>
                <w:b/>
              </w:rPr>
              <w:t>废水类别</w:t>
            </w:r>
          </w:p>
        </w:tc>
        <w:tc>
          <w:tcPr>
            <w:tcW w:w="3703" w:type="pct"/>
            <w:noWrap w:val="0"/>
            <w:tcMar>
              <w:top w:w="0" w:type="dxa"/>
              <w:left w:w="57" w:type="dxa"/>
              <w:bottom w:w="0" w:type="dxa"/>
              <w:right w:w="57" w:type="dxa"/>
            </w:tcMar>
            <w:vAlign w:val="center"/>
          </w:tcPr>
          <w:p w14:paraId="743243E8">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rFonts w:hint="eastAsia"/>
                <w:sz w:val="21"/>
                <w:szCs w:val="21"/>
              </w:rPr>
              <w:t>生活污水</w:t>
            </w:r>
          </w:p>
        </w:tc>
        <w:tc>
          <w:tcPr>
            <w:tcW w:w="666" w:type="pct"/>
            <w:noWrap w:val="0"/>
            <w:tcMar>
              <w:top w:w="0" w:type="dxa"/>
              <w:left w:w="57" w:type="dxa"/>
              <w:bottom w:w="0" w:type="dxa"/>
              <w:right w:w="57" w:type="dxa"/>
            </w:tcMar>
            <w:vAlign w:val="center"/>
          </w:tcPr>
          <w:p w14:paraId="674FE017">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1</w:t>
            </w:r>
          </w:p>
        </w:tc>
      </w:tr>
      <w:tr w14:paraId="24E4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31" w:type="pct"/>
            <w:vMerge w:val="continue"/>
            <w:noWrap w:val="0"/>
            <w:tcMar>
              <w:top w:w="0" w:type="dxa"/>
              <w:left w:w="57" w:type="dxa"/>
              <w:bottom w:w="0" w:type="dxa"/>
              <w:right w:w="57" w:type="dxa"/>
            </w:tcMar>
            <w:vAlign w:val="center"/>
          </w:tcPr>
          <w:p w14:paraId="681388BC">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p>
        </w:tc>
        <w:tc>
          <w:tcPr>
            <w:tcW w:w="3703" w:type="pct"/>
            <w:noWrap w:val="0"/>
            <w:tcMar>
              <w:top w:w="0" w:type="dxa"/>
              <w:left w:w="57" w:type="dxa"/>
              <w:bottom w:w="0" w:type="dxa"/>
              <w:right w:w="57" w:type="dxa"/>
            </w:tcMar>
            <w:vAlign w:val="center"/>
          </w:tcPr>
          <w:p w14:paraId="7308C3F9">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服务业废水、畜禽散养养殖废水</w:t>
            </w:r>
          </w:p>
        </w:tc>
        <w:tc>
          <w:tcPr>
            <w:tcW w:w="666" w:type="pct"/>
            <w:noWrap w:val="0"/>
            <w:tcMar>
              <w:top w:w="0" w:type="dxa"/>
              <w:left w:w="57" w:type="dxa"/>
              <w:bottom w:w="0" w:type="dxa"/>
              <w:right w:w="57" w:type="dxa"/>
            </w:tcMar>
            <w:vAlign w:val="center"/>
          </w:tcPr>
          <w:p w14:paraId="697E7473">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2</w:t>
            </w:r>
          </w:p>
        </w:tc>
      </w:tr>
      <w:tr w14:paraId="1958C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31" w:type="pct"/>
            <w:vMerge w:val="continue"/>
            <w:noWrap w:val="0"/>
            <w:tcMar>
              <w:top w:w="0" w:type="dxa"/>
              <w:left w:w="57" w:type="dxa"/>
              <w:bottom w:w="0" w:type="dxa"/>
              <w:right w:w="57" w:type="dxa"/>
            </w:tcMar>
            <w:vAlign w:val="center"/>
          </w:tcPr>
          <w:p w14:paraId="1555A112">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p>
        </w:tc>
        <w:tc>
          <w:tcPr>
            <w:tcW w:w="3703" w:type="pct"/>
            <w:noWrap w:val="0"/>
            <w:tcMar>
              <w:top w:w="0" w:type="dxa"/>
              <w:left w:w="57" w:type="dxa"/>
              <w:bottom w:w="0" w:type="dxa"/>
              <w:right w:w="57" w:type="dxa"/>
            </w:tcMar>
            <w:vAlign w:val="center"/>
          </w:tcPr>
          <w:p w14:paraId="11F3E127">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一般工业废水、规模化以上养殖企业养殖废水</w:t>
            </w:r>
          </w:p>
        </w:tc>
        <w:tc>
          <w:tcPr>
            <w:tcW w:w="666" w:type="pct"/>
            <w:noWrap w:val="0"/>
            <w:tcMar>
              <w:top w:w="0" w:type="dxa"/>
              <w:left w:w="57" w:type="dxa"/>
              <w:bottom w:w="0" w:type="dxa"/>
              <w:right w:w="57" w:type="dxa"/>
            </w:tcMar>
            <w:vAlign w:val="center"/>
          </w:tcPr>
          <w:p w14:paraId="413403F9">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3</w:t>
            </w:r>
          </w:p>
        </w:tc>
      </w:tr>
      <w:tr w14:paraId="0C7D1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31" w:type="pct"/>
            <w:vMerge w:val="continue"/>
            <w:noWrap w:val="0"/>
            <w:tcMar>
              <w:top w:w="0" w:type="dxa"/>
              <w:left w:w="57" w:type="dxa"/>
              <w:bottom w:w="0" w:type="dxa"/>
              <w:right w:w="57" w:type="dxa"/>
            </w:tcMar>
            <w:vAlign w:val="center"/>
          </w:tcPr>
          <w:p w14:paraId="4EDE5707">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p>
        </w:tc>
        <w:tc>
          <w:tcPr>
            <w:tcW w:w="3703" w:type="pct"/>
            <w:noWrap w:val="0"/>
            <w:tcMar>
              <w:top w:w="0" w:type="dxa"/>
              <w:left w:w="57" w:type="dxa"/>
              <w:bottom w:w="0" w:type="dxa"/>
              <w:right w:w="57" w:type="dxa"/>
            </w:tcMar>
            <w:vAlign w:val="center"/>
          </w:tcPr>
          <w:p w14:paraId="5AA2CB84">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含</w:t>
            </w:r>
            <w:r>
              <w:rPr>
                <w:rFonts w:hint="eastAsia"/>
                <w:sz w:val="21"/>
                <w:szCs w:val="21"/>
              </w:rPr>
              <w:t>其他</w:t>
            </w:r>
            <w:r>
              <w:rPr>
                <w:sz w:val="21"/>
                <w:szCs w:val="21"/>
              </w:rPr>
              <w:t>有毒有害污染物的废水、医疗废水</w:t>
            </w:r>
          </w:p>
        </w:tc>
        <w:tc>
          <w:tcPr>
            <w:tcW w:w="666" w:type="pct"/>
            <w:noWrap w:val="0"/>
            <w:tcMar>
              <w:top w:w="0" w:type="dxa"/>
              <w:left w:w="57" w:type="dxa"/>
              <w:bottom w:w="0" w:type="dxa"/>
              <w:right w:w="57" w:type="dxa"/>
            </w:tcMar>
            <w:vAlign w:val="center"/>
          </w:tcPr>
          <w:p w14:paraId="58B322AA">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4</w:t>
            </w:r>
          </w:p>
        </w:tc>
      </w:tr>
      <w:tr w14:paraId="64A45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631" w:type="pct"/>
            <w:vMerge w:val="continue"/>
            <w:noWrap w:val="0"/>
            <w:tcMar>
              <w:top w:w="0" w:type="dxa"/>
              <w:left w:w="57" w:type="dxa"/>
              <w:bottom w:w="0" w:type="dxa"/>
              <w:right w:w="57" w:type="dxa"/>
            </w:tcMar>
            <w:vAlign w:val="center"/>
          </w:tcPr>
          <w:p w14:paraId="788D8E8B">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p>
        </w:tc>
        <w:tc>
          <w:tcPr>
            <w:tcW w:w="3703" w:type="pct"/>
            <w:noWrap w:val="0"/>
            <w:tcMar>
              <w:top w:w="0" w:type="dxa"/>
              <w:left w:w="57" w:type="dxa"/>
              <w:bottom w:w="0" w:type="dxa"/>
              <w:right w:w="57" w:type="dxa"/>
            </w:tcMar>
            <w:vAlign w:val="center"/>
          </w:tcPr>
          <w:p w14:paraId="015CBAD5">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含</w:t>
            </w:r>
            <w:r>
              <w:rPr>
                <w:rFonts w:hint="eastAsia"/>
                <w:sz w:val="21"/>
                <w:szCs w:val="21"/>
              </w:rPr>
              <w:t>第</w:t>
            </w:r>
            <w:r>
              <w:rPr>
                <w:sz w:val="21"/>
                <w:szCs w:val="21"/>
              </w:rPr>
              <w:t>一类污染物或重金属、病原体、放射性物质的</w:t>
            </w:r>
            <w:r>
              <w:rPr>
                <w:rFonts w:hint="eastAsia"/>
                <w:sz w:val="21"/>
                <w:szCs w:val="21"/>
              </w:rPr>
              <w:t>废水</w:t>
            </w:r>
          </w:p>
        </w:tc>
        <w:tc>
          <w:tcPr>
            <w:tcW w:w="666" w:type="pct"/>
            <w:noWrap w:val="0"/>
            <w:tcMar>
              <w:top w:w="0" w:type="dxa"/>
              <w:left w:w="57" w:type="dxa"/>
              <w:bottom w:w="0" w:type="dxa"/>
              <w:right w:w="57" w:type="dxa"/>
            </w:tcMar>
            <w:vAlign w:val="center"/>
          </w:tcPr>
          <w:p w14:paraId="6A7B75C6">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5</w:t>
            </w:r>
          </w:p>
        </w:tc>
      </w:tr>
      <w:tr w14:paraId="55DCA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1" w:type="pct"/>
            <w:vMerge w:val="restart"/>
            <w:noWrap w:val="0"/>
            <w:tcMar>
              <w:top w:w="0" w:type="dxa"/>
              <w:left w:w="57" w:type="dxa"/>
              <w:bottom w:w="0" w:type="dxa"/>
              <w:right w:w="57" w:type="dxa"/>
            </w:tcMar>
            <w:vAlign w:val="center"/>
          </w:tcPr>
          <w:p w14:paraId="53DB7376">
            <w:pPr>
              <w:spacing w:before="20" w:after="20" w:line="300" w:lineRule="auto"/>
              <w:jc w:val="center"/>
              <w:rPr>
                <w:rFonts w:hint="eastAsia"/>
                <w:b/>
              </w:rPr>
            </w:pPr>
            <w:r>
              <w:rPr>
                <w:b/>
              </w:rPr>
              <w:t>排污超标</w:t>
            </w:r>
          </w:p>
          <w:p w14:paraId="6A434555">
            <w:pPr>
              <w:spacing w:before="20" w:after="20" w:line="300" w:lineRule="auto"/>
              <w:jc w:val="center"/>
              <w:rPr>
                <w:rFonts w:hint="eastAsia"/>
                <w:b/>
              </w:rPr>
            </w:pPr>
            <w:r>
              <w:rPr>
                <w:b/>
              </w:rPr>
              <w:t>状况</w:t>
            </w:r>
          </w:p>
        </w:tc>
        <w:tc>
          <w:tcPr>
            <w:tcW w:w="3703" w:type="pct"/>
            <w:noWrap w:val="0"/>
            <w:tcMar>
              <w:top w:w="0" w:type="dxa"/>
              <w:left w:w="57" w:type="dxa"/>
              <w:bottom w:w="0" w:type="dxa"/>
              <w:right w:w="57" w:type="dxa"/>
            </w:tcMar>
            <w:vAlign w:val="center"/>
          </w:tcPr>
          <w:p w14:paraId="790EDDB4">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不超标</w:t>
            </w:r>
          </w:p>
        </w:tc>
        <w:tc>
          <w:tcPr>
            <w:tcW w:w="666" w:type="pct"/>
            <w:noWrap w:val="0"/>
            <w:tcMar>
              <w:top w:w="0" w:type="dxa"/>
              <w:left w:w="57" w:type="dxa"/>
              <w:bottom w:w="0" w:type="dxa"/>
              <w:right w:w="57" w:type="dxa"/>
            </w:tcMar>
            <w:vAlign w:val="center"/>
          </w:tcPr>
          <w:p w14:paraId="2303E311">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1</w:t>
            </w:r>
          </w:p>
        </w:tc>
      </w:tr>
      <w:tr w14:paraId="78091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1" w:type="pct"/>
            <w:vMerge w:val="continue"/>
            <w:noWrap w:val="0"/>
            <w:tcMar>
              <w:top w:w="0" w:type="dxa"/>
              <w:left w:w="57" w:type="dxa"/>
              <w:bottom w:w="0" w:type="dxa"/>
              <w:right w:w="57" w:type="dxa"/>
            </w:tcMar>
            <w:vAlign w:val="center"/>
          </w:tcPr>
          <w:p w14:paraId="32C4AA31">
            <w:pPr>
              <w:pStyle w:val="20"/>
              <w:autoSpaceDE w:val="0"/>
              <w:autoSpaceDN w:val="0"/>
              <w:adjustRightInd w:val="0"/>
              <w:snapToGrid w:val="0"/>
              <w:spacing w:before="20" w:after="20" w:line="300" w:lineRule="auto"/>
              <w:ind w:left="0" w:right="0" w:rightChars="0" w:firstLine="0"/>
              <w:jc w:val="center"/>
              <w:textAlignment w:val="baseline"/>
              <w:rPr>
                <w:rFonts w:hint="eastAsia"/>
                <w:sz w:val="21"/>
                <w:szCs w:val="21"/>
              </w:rPr>
            </w:pPr>
          </w:p>
        </w:tc>
        <w:tc>
          <w:tcPr>
            <w:tcW w:w="3703" w:type="pct"/>
            <w:noWrap w:val="0"/>
            <w:tcMar>
              <w:top w:w="0" w:type="dxa"/>
              <w:left w:w="57" w:type="dxa"/>
              <w:bottom w:w="0" w:type="dxa"/>
              <w:right w:w="57" w:type="dxa"/>
            </w:tcMar>
            <w:vAlign w:val="center"/>
          </w:tcPr>
          <w:p w14:paraId="4902E6EE">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超标</w:t>
            </w:r>
            <w:r>
              <w:rPr>
                <w:rFonts w:hint="eastAsia"/>
                <w:sz w:val="21"/>
                <w:szCs w:val="21"/>
              </w:rPr>
              <w:t>不足</w:t>
            </w:r>
            <w:r>
              <w:rPr>
                <w:sz w:val="21"/>
                <w:szCs w:val="21"/>
              </w:rPr>
              <w:t>50%</w:t>
            </w:r>
          </w:p>
        </w:tc>
        <w:tc>
          <w:tcPr>
            <w:tcW w:w="666" w:type="pct"/>
            <w:noWrap w:val="0"/>
            <w:tcMar>
              <w:top w:w="0" w:type="dxa"/>
              <w:left w:w="57" w:type="dxa"/>
              <w:bottom w:w="0" w:type="dxa"/>
              <w:right w:w="57" w:type="dxa"/>
            </w:tcMar>
            <w:vAlign w:val="center"/>
          </w:tcPr>
          <w:p w14:paraId="7344EC58">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2</w:t>
            </w:r>
          </w:p>
        </w:tc>
      </w:tr>
      <w:tr w14:paraId="52104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1" w:type="pct"/>
            <w:vMerge w:val="continue"/>
            <w:noWrap w:val="0"/>
            <w:tcMar>
              <w:top w:w="0" w:type="dxa"/>
              <w:left w:w="57" w:type="dxa"/>
              <w:bottom w:w="0" w:type="dxa"/>
              <w:right w:w="57" w:type="dxa"/>
            </w:tcMar>
            <w:vAlign w:val="center"/>
          </w:tcPr>
          <w:p w14:paraId="67284273">
            <w:pPr>
              <w:pStyle w:val="20"/>
              <w:autoSpaceDE w:val="0"/>
              <w:autoSpaceDN w:val="0"/>
              <w:adjustRightInd w:val="0"/>
              <w:snapToGrid w:val="0"/>
              <w:spacing w:before="20" w:after="20" w:line="300" w:lineRule="auto"/>
              <w:ind w:left="0" w:right="0" w:rightChars="0" w:firstLine="0"/>
              <w:jc w:val="center"/>
              <w:textAlignment w:val="baseline"/>
              <w:rPr>
                <w:rFonts w:hint="eastAsia"/>
                <w:sz w:val="21"/>
                <w:szCs w:val="21"/>
              </w:rPr>
            </w:pPr>
          </w:p>
        </w:tc>
        <w:tc>
          <w:tcPr>
            <w:tcW w:w="3703" w:type="pct"/>
            <w:noWrap w:val="0"/>
            <w:tcMar>
              <w:top w:w="0" w:type="dxa"/>
              <w:left w:w="57" w:type="dxa"/>
              <w:bottom w:w="0" w:type="dxa"/>
              <w:right w:w="57" w:type="dxa"/>
            </w:tcMar>
            <w:vAlign w:val="center"/>
          </w:tcPr>
          <w:p w14:paraId="7C31B6EA">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超标50%以上</w:t>
            </w:r>
            <w:r>
              <w:rPr>
                <w:rFonts w:hint="eastAsia"/>
                <w:sz w:val="21"/>
                <w:szCs w:val="21"/>
              </w:rPr>
              <w:t>不足</w:t>
            </w:r>
            <w:r>
              <w:rPr>
                <w:sz w:val="21"/>
                <w:szCs w:val="21"/>
              </w:rPr>
              <w:t>100%</w:t>
            </w:r>
          </w:p>
        </w:tc>
        <w:tc>
          <w:tcPr>
            <w:tcW w:w="666" w:type="pct"/>
            <w:noWrap w:val="0"/>
            <w:tcMar>
              <w:top w:w="0" w:type="dxa"/>
              <w:left w:w="57" w:type="dxa"/>
              <w:bottom w:w="0" w:type="dxa"/>
              <w:right w:w="57" w:type="dxa"/>
            </w:tcMar>
            <w:vAlign w:val="center"/>
          </w:tcPr>
          <w:p w14:paraId="5B95CE12">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3</w:t>
            </w:r>
          </w:p>
        </w:tc>
      </w:tr>
      <w:tr w14:paraId="47D3E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1" w:type="pct"/>
            <w:vMerge w:val="continue"/>
            <w:noWrap w:val="0"/>
            <w:tcMar>
              <w:top w:w="0" w:type="dxa"/>
              <w:left w:w="57" w:type="dxa"/>
              <w:bottom w:w="0" w:type="dxa"/>
              <w:right w:w="57" w:type="dxa"/>
            </w:tcMar>
            <w:vAlign w:val="center"/>
          </w:tcPr>
          <w:p w14:paraId="162D3927">
            <w:pPr>
              <w:pStyle w:val="20"/>
              <w:autoSpaceDE w:val="0"/>
              <w:autoSpaceDN w:val="0"/>
              <w:adjustRightInd w:val="0"/>
              <w:snapToGrid w:val="0"/>
              <w:spacing w:before="20" w:after="20" w:line="300" w:lineRule="auto"/>
              <w:ind w:left="0" w:right="0" w:rightChars="0" w:firstLine="0"/>
              <w:jc w:val="center"/>
              <w:textAlignment w:val="baseline"/>
              <w:rPr>
                <w:rFonts w:hint="eastAsia"/>
                <w:sz w:val="21"/>
                <w:szCs w:val="21"/>
              </w:rPr>
            </w:pPr>
          </w:p>
        </w:tc>
        <w:tc>
          <w:tcPr>
            <w:tcW w:w="3703" w:type="pct"/>
            <w:noWrap w:val="0"/>
            <w:tcMar>
              <w:top w:w="0" w:type="dxa"/>
              <w:left w:w="57" w:type="dxa"/>
              <w:bottom w:w="0" w:type="dxa"/>
              <w:right w:w="57" w:type="dxa"/>
            </w:tcMar>
            <w:vAlign w:val="center"/>
          </w:tcPr>
          <w:p w14:paraId="1DDFA029">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超标100%以上</w:t>
            </w:r>
            <w:r>
              <w:rPr>
                <w:rFonts w:hint="eastAsia"/>
                <w:sz w:val="21"/>
                <w:szCs w:val="21"/>
              </w:rPr>
              <w:t>不足</w:t>
            </w:r>
            <w:r>
              <w:rPr>
                <w:sz w:val="21"/>
                <w:szCs w:val="21"/>
              </w:rPr>
              <w:t>200%</w:t>
            </w:r>
          </w:p>
        </w:tc>
        <w:tc>
          <w:tcPr>
            <w:tcW w:w="666" w:type="pct"/>
            <w:noWrap w:val="0"/>
            <w:tcMar>
              <w:top w:w="0" w:type="dxa"/>
              <w:left w:w="57" w:type="dxa"/>
              <w:bottom w:w="0" w:type="dxa"/>
              <w:right w:w="57" w:type="dxa"/>
            </w:tcMar>
            <w:vAlign w:val="center"/>
          </w:tcPr>
          <w:p w14:paraId="4F812BCA">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4</w:t>
            </w:r>
          </w:p>
        </w:tc>
      </w:tr>
      <w:tr w14:paraId="1148B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1" w:type="pct"/>
            <w:vMerge w:val="continue"/>
            <w:noWrap w:val="0"/>
            <w:tcMar>
              <w:top w:w="0" w:type="dxa"/>
              <w:left w:w="57" w:type="dxa"/>
              <w:bottom w:w="0" w:type="dxa"/>
              <w:right w:w="57" w:type="dxa"/>
            </w:tcMar>
            <w:vAlign w:val="center"/>
          </w:tcPr>
          <w:p w14:paraId="2BFFC2FA">
            <w:pPr>
              <w:pStyle w:val="20"/>
              <w:autoSpaceDE w:val="0"/>
              <w:autoSpaceDN w:val="0"/>
              <w:adjustRightInd w:val="0"/>
              <w:snapToGrid w:val="0"/>
              <w:spacing w:before="20" w:after="20" w:line="300" w:lineRule="auto"/>
              <w:ind w:left="0" w:right="0" w:rightChars="0" w:firstLine="0"/>
              <w:jc w:val="center"/>
              <w:textAlignment w:val="baseline"/>
              <w:rPr>
                <w:rFonts w:hint="eastAsia"/>
                <w:sz w:val="21"/>
                <w:szCs w:val="21"/>
              </w:rPr>
            </w:pPr>
          </w:p>
        </w:tc>
        <w:tc>
          <w:tcPr>
            <w:tcW w:w="3703" w:type="pct"/>
            <w:noWrap w:val="0"/>
            <w:tcMar>
              <w:top w:w="0" w:type="dxa"/>
              <w:left w:w="57" w:type="dxa"/>
              <w:bottom w:w="0" w:type="dxa"/>
              <w:right w:w="57" w:type="dxa"/>
            </w:tcMar>
            <w:vAlign w:val="center"/>
          </w:tcPr>
          <w:p w14:paraId="00316467">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超标200%以上</w:t>
            </w:r>
          </w:p>
        </w:tc>
        <w:tc>
          <w:tcPr>
            <w:tcW w:w="666" w:type="pct"/>
            <w:noWrap w:val="0"/>
            <w:tcMar>
              <w:top w:w="0" w:type="dxa"/>
              <w:left w:w="57" w:type="dxa"/>
              <w:bottom w:w="0" w:type="dxa"/>
              <w:right w:w="57" w:type="dxa"/>
            </w:tcMar>
            <w:vAlign w:val="center"/>
          </w:tcPr>
          <w:p w14:paraId="1DE84FD5">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5</w:t>
            </w:r>
          </w:p>
        </w:tc>
      </w:tr>
      <w:tr w14:paraId="01C74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1" w:type="pct"/>
            <w:vMerge w:val="restart"/>
            <w:noWrap w:val="0"/>
            <w:tcMar>
              <w:top w:w="0" w:type="dxa"/>
              <w:left w:w="57" w:type="dxa"/>
              <w:bottom w:w="0" w:type="dxa"/>
              <w:right w:w="57" w:type="dxa"/>
            </w:tcMar>
            <w:vAlign w:val="center"/>
          </w:tcPr>
          <w:p w14:paraId="4584F3CE">
            <w:pPr>
              <w:spacing w:before="20" w:after="20" w:line="300" w:lineRule="auto"/>
              <w:jc w:val="center"/>
              <w:rPr>
                <w:rFonts w:hint="eastAsia"/>
                <w:b/>
              </w:rPr>
            </w:pPr>
            <w:r>
              <w:rPr>
                <w:b/>
              </w:rPr>
              <w:t>行为情形</w:t>
            </w:r>
          </w:p>
        </w:tc>
        <w:tc>
          <w:tcPr>
            <w:tcW w:w="3703" w:type="pct"/>
            <w:noWrap w:val="0"/>
            <w:tcMar>
              <w:top w:w="0" w:type="dxa"/>
              <w:left w:w="57" w:type="dxa"/>
              <w:bottom w:w="0" w:type="dxa"/>
              <w:right w:w="57" w:type="dxa"/>
            </w:tcMar>
            <w:vAlign w:val="center"/>
          </w:tcPr>
          <w:p w14:paraId="339CCB67">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处理设施破损造成跑冒滴漏</w:t>
            </w:r>
          </w:p>
        </w:tc>
        <w:tc>
          <w:tcPr>
            <w:tcW w:w="666" w:type="pct"/>
            <w:noWrap w:val="0"/>
            <w:tcMar>
              <w:top w:w="0" w:type="dxa"/>
              <w:left w:w="57" w:type="dxa"/>
              <w:bottom w:w="0" w:type="dxa"/>
              <w:right w:w="57" w:type="dxa"/>
            </w:tcMar>
            <w:vAlign w:val="center"/>
          </w:tcPr>
          <w:p w14:paraId="3183042D">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1</w:t>
            </w:r>
          </w:p>
        </w:tc>
      </w:tr>
      <w:tr w14:paraId="1D6F0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1" w:type="pct"/>
            <w:vMerge w:val="continue"/>
            <w:noWrap w:val="0"/>
            <w:tcMar>
              <w:top w:w="0" w:type="dxa"/>
              <w:left w:w="57" w:type="dxa"/>
              <w:bottom w:w="0" w:type="dxa"/>
              <w:right w:w="57" w:type="dxa"/>
            </w:tcMar>
            <w:vAlign w:val="center"/>
          </w:tcPr>
          <w:p w14:paraId="1485DF8E">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p>
        </w:tc>
        <w:tc>
          <w:tcPr>
            <w:tcW w:w="3703" w:type="pct"/>
            <w:noWrap w:val="0"/>
            <w:tcMar>
              <w:top w:w="0" w:type="dxa"/>
              <w:left w:w="57" w:type="dxa"/>
              <w:bottom w:w="0" w:type="dxa"/>
              <w:right w:w="57" w:type="dxa"/>
            </w:tcMar>
            <w:vAlign w:val="center"/>
          </w:tcPr>
          <w:p w14:paraId="73268610">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生产设施破损造成跑冒滴漏</w:t>
            </w:r>
          </w:p>
        </w:tc>
        <w:tc>
          <w:tcPr>
            <w:tcW w:w="666" w:type="pct"/>
            <w:noWrap w:val="0"/>
            <w:tcMar>
              <w:top w:w="0" w:type="dxa"/>
              <w:left w:w="57" w:type="dxa"/>
              <w:bottom w:w="0" w:type="dxa"/>
              <w:right w:w="57" w:type="dxa"/>
            </w:tcMar>
            <w:vAlign w:val="center"/>
          </w:tcPr>
          <w:p w14:paraId="56ADDAF9">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2</w:t>
            </w:r>
          </w:p>
        </w:tc>
      </w:tr>
      <w:tr w14:paraId="26FDC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1" w:type="pct"/>
            <w:vMerge w:val="continue"/>
            <w:noWrap w:val="0"/>
            <w:tcMar>
              <w:top w:w="0" w:type="dxa"/>
              <w:left w:w="57" w:type="dxa"/>
              <w:bottom w:w="0" w:type="dxa"/>
              <w:right w:w="57" w:type="dxa"/>
            </w:tcMar>
            <w:vAlign w:val="center"/>
          </w:tcPr>
          <w:p w14:paraId="142A3F0B">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p>
        </w:tc>
        <w:tc>
          <w:tcPr>
            <w:tcW w:w="3703" w:type="pct"/>
            <w:noWrap w:val="0"/>
            <w:tcMar>
              <w:top w:w="0" w:type="dxa"/>
              <w:left w:w="57" w:type="dxa"/>
              <w:bottom w:w="0" w:type="dxa"/>
              <w:right w:w="57" w:type="dxa"/>
            </w:tcMar>
            <w:vAlign w:val="center"/>
          </w:tcPr>
          <w:p w14:paraId="089C5F15">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部分</w:t>
            </w:r>
            <w:r>
              <w:rPr>
                <w:rFonts w:hint="eastAsia"/>
                <w:sz w:val="21"/>
                <w:szCs w:val="21"/>
              </w:rPr>
              <w:t>污染防治</w:t>
            </w:r>
            <w:r>
              <w:rPr>
                <w:sz w:val="21"/>
                <w:szCs w:val="21"/>
              </w:rPr>
              <w:t>设施不正常运行或停运</w:t>
            </w:r>
          </w:p>
        </w:tc>
        <w:tc>
          <w:tcPr>
            <w:tcW w:w="666" w:type="pct"/>
            <w:noWrap w:val="0"/>
            <w:tcMar>
              <w:top w:w="0" w:type="dxa"/>
              <w:left w:w="57" w:type="dxa"/>
              <w:bottom w:w="0" w:type="dxa"/>
              <w:right w:w="57" w:type="dxa"/>
            </w:tcMar>
            <w:vAlign w:val="center"/>
          </w:tcPr>
          <w:p w14:paraId="04C129AE">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3</w:t>
            </w:r>
          </w:p>
        </w:tc>
      </w:tr>
      <w:tr w14:paraId="51D00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1" w:type="pct"/>
            <w:vMerge w:val="continue"/>
            <w:noWrap w:val="0"/>
            <w:tcMar>
              <w:top w:w="0" w:type="dxa"/>
              <w:left w:w="57" w:type="dxa"/>
              <w:bottom w:w="0" w:type="dxa"/>
              <w:right w:w="57" w:type="dxa"/>
            </w:tcMar>
            <w:vAlign w:val="center"/>
          </w:tcPr>
          <w:p w14:paraId="47399E06">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p>
        </w:tc>
        <w:tc>
          <w:tcPr>
            <w:tcW w:w="3703" w:type="pct"/>
            <w:noWrap w:val="0"/>
            <w:tcMar>
              <w:top w:w="0" w:type="dxa"/>
              <w:left w:w="57" w:type="dxa"/>
              <w:bottom w:w="0" w:type="dxa"/>
              <w:right w:w="57" w:type="dxa"/>
            </w:tcMar>
            <w:vAlign w:val="center"/>
          </w:tcPr>
          <w:p w14:paraId="62D84CEF">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整体或关键处理设施停运/为逃避现场检查临时停产</w:t>
            </w:r>
          </w:p>
        </w:tc>
        <w:tc>
          <w:tcPr>
            <w:tcW w:w="666" w:type="pct"/>
            <w:noWrap w:val="0"/>
            <w:tcMar>
              <w:top w:w="0" w:type="dxa"/>
              <w:left w:w="57" w:type="dxa"/>
              <w:bottom w:w="0" w:type="dxa"/>
              <w:right w:w="57" w:type="dxa"/>
            </w:tcMar>
            <w:vAlign w:val="center"/>
          </w:tcPr>
          <w:p w14:paraId="29F77D00">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4</w:t>
            </w:r>
          </w:p>
        </w:tc>
      </w:tr>
      <w:tr w14:paraId="5460B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1" w:type="pct"/>
            <w:vMerge w:val="continue"/>
            <w:noWrap w:val="0"/>
            <w:tcMar>
              <w:top w:w="0" w:type="dxa"/>
              <w:left w:w="57" w:type="dxa"/>
              <w:bottom w:w="0" w:type="dxa"/>
              <w:right w:w="57" w:type="dxa"/>
            </w:tcMar>
            <w:vAlign w:val="center"/>
          </w:tcPr>
          <w:p w14:paraId="27CF2026">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p>
        </w:tc>
        <w:tc>
          <w:tcPr>
            <w:tcW w:w="3703" w:type="pct"/>
            <w:noWrap w:val="0"/>
            <w:tcMar>
              <w:top w:w="0" w:type="dxa"/>
              <w:left w:w="57" w:type="dxa"/>
              <w:bottom w:w="0" w:type="dxa"/>
              <w:right w:w="57" w:type="dxa"/>
            </w:tcMar>
            <w:vAlign w:val="center"/>
          </w:tcPr>
          <w:p w14:paraId="7320F6F2">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正常生产时不通过</w:t>
            </w:r>
            <w:r>
              <w:rPr>
                <w:rFonts w:hint="eastAsia"/>
                <w:sz w:val="21"/>
                <w:szCs w:val="21"/>
              </w:rPr>
              <w:t>污染防治</w:t>
            </w:r>
            <w:r>
              <w:rPr>
                <w:sz w:val="21"/>
                <w:szCs w:val="21"/>
              </w:rPr>
              <w:t>设施</w:t>
            </w:r>
            <w:r>
              <w:rPr>
                <w:rFonts w:hint="eastAsia"/>
                <w:sz w:val="21"/>
                <w:szCs w:val="21"/>
              </w:rPr>
              <w:t>、</w:t>
            </w:r>
            <w:r>
              <w:rPr>
                <w:sz w:val="21"/>
                <w:szCs w:val="21"/>
              </w:rPr>
              <w:t>利用其他方式直接排放/篡改、伪造监测数据</w:t>
            </w:r>
          </w:p>
        </w:tc>
        <w:tc>
          <w:tcPr>
            <w:tcW w:w="666" w:type="pct"/>
            <w:noWrap w:val="0"/>
            <w:tcMar>
              <w:top w:w="0" w:type="dxa"/>
              <w:left w:w="57" w:type="dxa"/>
              <w:bottom w:w="0" w:type="dxa"/>
              <w:right w:w="57" w:type="dxa"/>
            </w:tcMar>
            <w:vAlign w:val="center"/>
          </w:tcPr>
          <w:p w14:paraId="40243EAB">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5</w:t>
            </w:r>
          </w:p>
        </w:tc>
      </w:tr>
      <w:tr w14:paraId="000A7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1" w:type="pct"/>
            <w:vMerge w:val="restart"/>
            <w:noWrap w:val="0"/>
            <w:tcMar>
              <w:top w:w="0" w:type="dxa"/>
              <w:left w:w="57" w:type="dxa"/>
              <w:bottom w:w="0" w:type="dxa"/>
              <w:right w:w="57" w:type="dxa"/>
            </w:tcMar>
            <w:vAlign w:val="center"/>
          </w:tcPr>
          <w:p w14:paraId="06A5C4D2">
            <w:pPr>
              <w:spacing w:before="20" w:after="20" w:line="300" w:lineRule="auto"/>
              <w:jc w:val="center"/>
              <w:rPr>
                <w:rFonts w:hint="eastAsia"/>
                <w:b/>
              </w:rPr>
            </w:pPr>
            <w:r>
              <w:rPr>
                <w:b/>
              </w:rPr>
              <w:t>小时烟气流量（气）/日排放量（水）</w:t>
            </w:r>
          </w:p>
        </w:tc>
        <w:tc>
          <w:tcPr>
            <w:tcW w:w="3703" w:type="pct"/>
            <w:noWrap w:val="0"/>
            <w:tcMar>
              <w:top w:w="0" w:type="dxa"/>
              <w:left w:w="57" w:type="dxa"/>
              <w:bottom w:w="0" w:type="dxa"/>
              <w:right w:w="57" w:type="dxa"/>
            </w:tcMar>
            <w:vAlign w:val="center"/>
          </w:tcPr>
          <w:p w14:paraId="52C776FB">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rFonts w:hint="eastAsia"/>
                <w:sz w:val="21"/>
                <w:szCs w:val="21"/>
              </w:rPr>
              <w:t>不足</w:t>
            </w:r>
            <w:r>
              <w:rPr>
                <w:sz w:val="21"/>
                <w:szCs w:val="21"/>
              </w:rPr>
              <w:t>1000标立/</w:t>
            </w:r>
            <w:r>
              <w:rPr>
                <w:rFonts w:hint="eastAsia"/>
                <w:sz w:val="21"/>
                <w:szCs w:val="21"/>
              </w:rPr>
              <w:t>不足</w:t>
            </w:r>
            <w:r>
              <w:rPr>
                <w:sz w:val="21"/>
                <w:szCs w:val="21"/>
              </w:rPr>
              <w:t>5吨（一般排污单位）/</w:t>
            </w:r>
            <w:r>
              <w:rPr>
                <w:rFonts w:hint="eastAsia"/>
                <w:sz w:val="21"/>
                <w:szCs w:val="21"/>
              </w:rPr>
              <w:t>不足</w:t>
            </w:r>
            <w:r>
              <w:rPr>
                <w:sz w:val="21"/>
                <w:szCs w:val="21"/>
              </w:rPr>
              <w:t>1万吨（生活污水处理厂）/</w:t>
            </w:r>
            <w:r>
              <w:rPr>
                <w:rFonts w:hint="eastAsia"/>
                <w:sz w:val="21"/>
                <w:szCs w:val="21"/>
              </w:rPr>
              <w:t>不足</w:t>
            </w:r>
            <w:r>
              <w:rPr>
                <w:sz w:val="21"/>
                <w:szCs w:val="21"/>
              </w:rPr>
              <w:t>2000吨（工业污水处理厂）</w:t>
            </w:r>
          </w:p>
        </w:tc>
        <w:tc>
          <w:tcPr>
            <w:tcW w:w="666" w:type="pct"/>
            <w:noWrap w:val="0"/>
            <w:tcMar>
              <w:top w:w="0" w:type="dxa"/>
              <w:left w:w="57" w:type="dxa"/>
              <w:bottom w:w="0" w:type="dxa"/>
              <w:right w:w="57" w:type="dxa"/>
            </w:tcMar>
            <w:vAlign w:val="center"/>
          </w:tcPr>
          <w:p w14:paraId="21BE0381">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1</w:t>
            </w:r>
          </w:p>
        </w:tc>
      </w:tr>
      <w:tr w14:paraId="20528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1" w:type="pct"/>
            <w:vMerge w:val="continue"/>
            <w:noWrap w:val="0"/>
            <w:tcMar>
              <w:top w:w="0" w:type="dxa"/>
              <w:left w:w="57" w:type="dxa"/>
              <w:bottom w:w="0" w:type="dxa"/>
              <w:right w:w="57" w:type="dxa"/>
            </w:tcMar>
            <w:vAlign w:val="center"/>
          </w:tcPr>
          <w:p w14:paraId="0C625028">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03" w:type="pct"/>
            <w:noWrap w:val="0"/>
            <w:tcMar>
              <w:top w:w="0" w:type="dxa"/>
              <w:left w:w="57" w:type="dxa"/>
              <w:bottom w:w="0" w:type="dxa"/>
              <w:right w:w="57" w:type="dxa"/>
            </w:tcMar>
            <w:vAlign w:val="center"/>
          </w:tcPr>
          <w:p w14:paraId="47687B62">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1000标立以上</w:t>
            </w:r>
            <w:r>
              <w:rPr>
                <w:rFonts w:hint="eastAsia"/>
                <w:sz w:val="21"/>
                <w:szCs w:val="21"/>
              </w:rPr>
              <w:t>不足</w:t>
            </w:r>
            <w:r>
              <w:rPr>
                <w:sz w:val="21"/>
                <w:szCs w:val="21"/>
              </w:rPr>
              <w:t>1万标立/5吨以上</w:t>
            </w:r>
            <w:r>
              <w:rPr>
                <w:rFonts w:hint="eastAsia"/>
                <w:sz w:val="21"/>
                <w:szCs w:val="21"/>
              </w:rPr>
              <w:t>不足</w:t>
            </w:r>
            <w:r>
              <w:rPr>
                <w:sz w:val="21"/>
                <w:szCs w:val="21"/>
              </w:rPr>
              <w:t>30吨（一般排污单位）/1万吨以上</w:t>
            </w:r>
            <w:r>
              <w:rPr>
                <w:rFonts w:hint="eastAsia"/>
                <w:sz w:val="21"/>
                <w:szCs w:val="21"/>
              </w:rPr>
              <w:t>不足</w:t>
            </w:r>
            <w:r>
              <w:rPr>
                <w:sz w:val="21"/>
                <w:szCs w:val="21"/>
              </w:rPr>
              <w:t>5万吨（生活污水处理厂）/2000吨以上</w:t>
            </w:r>
            <w:r>
              <w:rPr>
                <w:rFonts w:hint="eastAsia"/>
                <w:sz w:val="21"/>
                <w:szCs w:val="21"/>
              </w:rPr>
              <w:t>不足</w:t>
            </w:r>
            <w:r>
              <w:rPr>
                <w:sz w:val="21"/>
                <w:szCs w:val="21"/>
              </w:rPr>
              <w:t>5000吨（工业污水处理厂）</w:t>
            </w:r>
          </w:p>
        </w:tc>
        <w:tc>
          <w:tcPr>
            <w:tcW w:w="666" w:type="pct"/>
            <w:noWrap w:val="0"/>
            <w:tcMar>
              <w:top w:w="0" w:type="dxa"/>
              <w:left w:w="57" w:type="dxa"/>
              <w:bottom w:w="0" w:type="dxa"/>
              <w:right w:w="57" w:type="dxa"/>
            </w:tcMar>
            <w:vAlign w:val="center"/>
          </w:tcPr>
          <w:p w14:paraId="463B2BCA">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2</w:t>
            </w:r>
          </w:p>
        </w:tc>
      </w:tr>
      <w:tr w14:paraId="061A9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1" w:type="pct"/>
            <w:vMerge w:val="continue"/>
            <w:noWrap w:val="0"/>
            <w:tcMar>
              <w:top w:w="0" w:type="dxa"/>
              <w:left w:w="57" w:type="dxa"/>
              <w:bottom w:w="0" w:type="dxa"/>
              <w:right w:w="57" w:type="dxa"/>
            </w:tcMar>
            <w:vAlign w:val="center"/>
          </w:tcPr>
          <w:p w14:paraId="0B44BFC1">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03" w:type="pct"/>
            <w:noWrap w:val="0"/>
            <w:tcMar>
              <w:top w:w="0" w:type="dxa"/>
              <w:left w:w="57" w:type="dxa"/>
              <w:bottom w:w="0" w:type="dxa"/>
              <w:right w:w="57" w:type="dxa"/>
            </w:tcMar>
            <w:vAlign w:val="center"/>
          </w:tcPr>
          <w:p w14:paraId="0F5FBF36">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1万标立以上</w:t>
            </w:r>
            <w:r>
              <w:rPr>
                <w:rFonts w:hint="eastAsia"/>
                <w:sz w:val="21"/>
                <w:szCs w:val="21"/>
              </w:rPr>
              <w:t>不足</w:t>
            </w:r>
            <w:r>
              <w:rPr>
                <w:sz w:val="21"/>
                <w:szCs w:val="21"/>
              </w:rPr>
              <w:t>10万标立/30吨以上</w:t>
            </w:r>
            <w:r>
              <w:rPr>
                <w:rFonts w:hint="eastAsia"/>
                <w:sz w:val="21"/>
                <w:szCs w:val="21"/>
              </w:rPr>
              <w:t>不足</w:t>
            </w:r>
            <w:r>
              <w:rPr>
                <w:sz w:val="21"/>
                <w:szCs w:val="21"/>
              </w:rPr>
              <w:t>50吨（一般排污单位）/5万吨以上</w:t>
            </w:r>
            <w:r>
              <w:rPr>
                <w:rFonts w:hint="eastAsia"/>
                <w:sz w:val="21"/>
                <w:szCs w:val="21"/>
              </w:rPr>
              <w:t>不足</w:t>
            </w:r>
            <w:r>
              <w:rPr>
                <w:sz w:val="21"/>
                <w:szCs w:val="21"/>
              </w:rPr>
              <w:t>10万吨（生活污水处理厂）/5000吨以上</w:t>
            </w:r>
            <w:r>
              <w:rPr>
                <w:rFonts w:hint="eastAsia"/>
                <w:sz w:val="21"/>
                <w:szCs w:val="21"/>
              </w:rPr>
              <w:t>不足</w:t>
            </w:r>
            <w:r>
              <w:rPr>
                <w:sz w:val="21"/>
                <w:szCs w:val="21"/>
              </w:rPr>
              <w:t>1万吨（工业污水处理厂）</w:t>
            </w:r>
          </w:p>
        </w:tc>
        <w:tc>
          <w:tcPr>
            <w:tcW w:w="666" w:type="pct"/>
            <w:noWrap w:val="0"/>
            <w:tcMar>
              <w:top w:w="0" w:type="dxa"/>
              <w:left w:w="57" w:type="dxa"/>
              <w:bottom w:w="0" w:type="dxa"/>
              <w:right w:w="57" w:type="dxa"/>
            </w:tcMar>
            <w:vAlign w:val="center"/>
          </w:tcPr>
          <w:p w14:paraId="3B35CC87">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3</w:t>
            </w:r>
          </w:p>
        </w:tc>
      </w:tr>
      <w:tr w14:paraId="7ADCF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1" w:type="pct"/>
            <w:vMerge w:val="continue"/>
            <w:noWrap w:val="0"/>
            <w:tcMar>
              <w:top w:w="0" w:type="dxa"/>
              <w:left w:w="57" w:type="dxa"/>
              <w:bottom w:w="0" w:type="dxa"/>
              <w:right w:w="57" w:type="dxa"/>
            </w:tcMar>
            <w:vAlign w:val="center"/>
          </w:tcPr>
          <w:p w14:paraId="270B0189">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03" w:type="pct"/>
            <w:noWrap w:val="0"/>
            <w:tcMar>
              <w:top w:w="0" w:type="dxa"/>
              <w:left w:w="57" w:type="dxa"/>
              <w:bottom w:w="0" w:type="dxa"/>
              <w:right w:w="57" w:type="dxa"/>
            </w:tcMar>
            <w:vAlign w:val="center"/>
          </w:tcPr>
          <w:p w14:paraId="0A80F72E">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10万标立以上</w:t>
            </w:r>
            <w:r>
              <w:rPr>
                <w:rFonts w:hint="eastAsia"/>
                <w:sz w:val="21"/>
                <w:szCs w:val="21"/>
              </w:rPr>
              <w:t>不足</w:t>
            </w:r>
            <w:r>
              <w:rPr>
                <w:sz w:val="21"/>
                <w:szCs w:val="21"/>
              </w:rPr>
              <w:t>20万标立/50吨以上</w:t>
            </w:r>
            <w:r>
              <w:rPr>
                <w:rFonts w:hint="eastAsia"/>
                <w:sz w:val="21"/>
                <w:szCs w:val="21"/>
              </w:rPr>
              <w:t>不足</w:t>
            </w:r>
            <w:r>
              <w:rPr>
                <w:sz w:val="21"/>
                <w:szCs w:val="21"/>
              </w:rPr>
              <w:t>100吨（一般排污单位）/10万吨以上</w:t>
            </w:r>
            <w:r>
              <w:rPr>
                <w:rFonts w:hint="eastAsia"/>
                <w:sz w:val="21"/>
                <w:szCs w:val="21"/>
              </w:rPr>
              <w:t>不足</w:t>
            </w:r>
            <w:r>
              <w:rPr>
                <w:sz w:val="21"/>
                <w:szCs w:val="21"/>
              </w:rPr>
              <w:t>30万吨（生活污水处理厂）/1万吨以上</w:t>
            </w:r>
            <w:r>
              <w:rPr>
                <w:rFonts w:hint="eastAsia"/>
                <w:sz w:val="21"/>
                <w:szCs w:val="21"/>
              </w:rPr>
              <w:t>不足</w:t>
            </w:r>
            <w:r>
              <w:rPr>
                <w:sz w:val="21"/>
                <w:szCs w:val="21"/>
              </w:rPr>
              <w:t>5万吨（工业污水处理厂）</w:t>
            </w:r>
          </w:p>
        </w:tc>
        <w:tc>
          <w:tcPr>
            <w:tcW w:w="666" w:type="pct"/>
            <w:noWrap w:val="0"/>
            <w:tcMar>
              <w:top w:w="0" w:type="dxa"/>
              <w:left w:w="57" w:type="dxa"/>
              <w:bottom w:w="0" w:type="dxa"/>
              <w:right w:w="57" w:type="dxa"/>
            </w:tcMar>
            <w:vAlign w:val="center"/>
          </w:tcPr>
          <w:p w14:paraId="132E0EFC">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4</w:t>
            </w:r>
          </w:p>
        </w:tc>
      </w:tr>
      <w:tr w14:paraId="02BE5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1" w:type="pct"/>
            <w:vMerge w:val="continue"/>
            <w:noWrap w:val="0"/>
            <w:tcMar>
              <w:top w:w="0" w:type="dxa"/>
              <w:left w:w="57" w:type="dxa"/>
              <w:bottom w:w="0" w:type="dxa"/>
              <w:right w:w="57" w:type="dxa"/>
            </w:tcMar>
            <w:vAlign w:val="center"/>
          </w:tcPr>
          <w:p w14:paraId="2CA47791">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03" w:type="pct"/>
            <w:noWrap w:val="0"/>
            <w:tcMar>
              <w:top w:w="0" w:type="dxa"/>
              <w:left w:w="57" w:type="dxa"/>
              <w:bottom w:w="0" w:type="dxa"/>
              <w:right w:w="57" w:type="dxa"/>
            </w:tcMar>
            <w:vAlign w:val="center"/>
          </w:tcPr>
          <w:p w14:paraId="021102D4">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20万标立以上/100吨以上（一般排污单位）/30万吨以上（生活污水处理厂）/5万吨以上（工业污水处理厂）</w:t>
            </w:r>
          </w:p>
        </w:tc>
        <w:tc>
          <w:tcPr>
            <w:tcW w:w="666" w:type="pct"/>
            <w:noWrap w:val="0"/>
            <w:tcMar>
              <w:top w:w="0" w:type="dxa"/>
              <w:left w:w="57" w:type="dxa"/>
              <w:bottom w:w="0" w:type="dxa"/>
              <w:right w:w="57" w:type="dxa"/>
            </w:tcMar>
            <w:vAlign w:val="center"/>
          </w:tcPr>
          <w:p w14:paraId="27885C09">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5</w:t>
            </w:r>
          </w:p>
        </w:tc>
      </w:tr>
      <w:tr w14:paraId="53CD8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1" w:type="pct"/>
            <w:vMerge w:val="restart"/>
            <w:noWrap w:val="0"/>
            <w:tcMar>
              <w:top w:w="0" w:type="dxa"/>
              <w:left w:w="57" w:type="dxa"/>
              <w:bottom w:w="0" w:type="dxa"/>
              <w:right w:w="57" w:type="dxa"/>
            </w:tcMar>
            <w:vAlign w:val="center"/>
          </w:tcPr>
          <w:p w14:paraId="7DDFD16E">
            <w:pPr>
              <w:spacing w:before="20" w:after="20" w:line="300" w:lineRule="auto"/>
              <w:jc w:val="center"/>
              <w:rPr>
                <w:rFonts w:hint="eastAsia"/>
                <w:b/>
              </w:rPr>
            </w:pPr>
            <w:r>
              <w:rPr>
                <w:b/>
              </w:rPr>
              <w:t>项目环境</w:t>
            </w:r>
          </w:p>
          <w:p w14:paraId="145550A5">
            <w:pPr>
              <w:spacing w:before="20" w:after="20" w:line="300" w:lineRule="auto"/>
              <w:jc w:val="center"/>
              <w:rPr>
                <w:rFonts w:hint="eastAsia"/>
                <w:b/>
              </w:rPr>
            </w:pPr>
            <w:r>
              <w:rPr>
                <w:b/>
              </w:rPr>
              <w:t>管理情况</w:t>
            </w:r>
          </w:p>
        </w:tc>
        <w:tc>
          <w:tcPr>
            <w:tcW w:w="3703" w:type="pct"/>
            <w:noWrap w:val="0"/>
            <w:tcMar>
              <w:top w:w="0" w:type="dxa"/>
              <w:left w:w="57" w:type="dxa"/>
              <w:bottom w:w="0" w:type="dxa"/>
              <w:right w:w="57" w:type="dxa"/>
            </w:tcMar>
            <w:vAlign w:val="center"/>
          </w:tcPr>
          <w:p w14:paraId="5ACD622D">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有环评</w:t>
            </w:r>
            <w:r>
              <w:rPr>
                <w:rFonts w:hint="eastAsia"/>
                <w:sz w:val="21"/>
                <w:szCs w:val="21"/>
              </w:rPr>
              <w:t>、</w:t>
            </w:r>
            <w:r>
              <w:rPr>
                <w:sz w:val="21"/>
                <w:szCs w:val="21"/>
              </w:rPr>
              <w:t>有验收</w:t>
            </w:r>
          </w:p>
        </w:tc>
        <w:tc>
          <w:tcPr>
            <w:tcW w:w="666" w:type="pct"/>
            <w:noWrap w:val="0"/>
            <w:tcMar>
              <w:top w:w="0" w:type="dxa"/>
              <w:left w:w="57" w:type="dxa"/>
              <w:bottom w:w="0" w:type="dxa"/>
              <w:right w:w="57" w:type="dxa"/>
            </w:tcMar>
            <w:vAlign w:val="center"/>
          </w:tcPr>
          <w:p w14:paraId="574A13F2">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1</w:t>
            </w:r>
          </w:p>
        </w:tc>
      </w:tr>
      <w:tr w14:paraId="5E58A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1" w:type="pct"/>
            <w:vMerge w:val="continue"/>
            <w:noWrap w:val="0"/>
            <w:tcMar>
              <w:top w:w="0" w:type="dxa"/>
              <w:left w:w="57" w:type="dxa"/>
              <w:bottom w:w="0" w:type="dxa"/>
              <w:right w:w="57" w:type="dxa"/>
            </w:tcMar>
            <w:vAlign w:val="center"/>
          </w:tcPr>
          <w:p w14:paraId="450B4FBE">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03" w:type="pct"/>
            <w:noWrap w:val="0"/>
            <w:tcMar>
              <w:top w:w="0" w:type="dxa"/>
              <w:left w:w="57" w:type="dxa"/>
              <w:bottom w:w="0" w:type="dxa"/>
              <w:right w:w="57" w:type="dxa"/>
            </w:tcMar>
            <w:vAlign w:val="center"/>
          </w:tcPr>
          <w:p w14:paraId="0E0956AE">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有环评</w:t>
            </w:r>
            <w:r>
              <w:rPr>
                <w:rFonts w:hint="eastAsia"/>
                <w:sz w:val="21"/>
                <w:szCs w:val="21"/>
              </w:rPr>
              <w:t>、</w:t>
            </w:r>
            <w:r>
              <w:rPr>
                <w:sz w:val="21"/>
                <w:szCs w:val="21"/>
              </w:rPr>
              <w:t>无验收</w:t>
            </w:r>
          </w:p>
        </w:tc>
        <w:tc>
          <w:tcPr>
            <w:tcW w:w="666" w:type="pct"/>
            <w:noWrap w:val="0"/>
            <w:tcMar>
              <w:top w:w="0" w:type="dxa"/>
              <w:left w:w="57" w:type="dxa"/>
              <w:bottom w:w="0" w:type="dxa"/>
              <w:right w:w="57" w:type="dxa"/>
            </w:tcMar>
            <w:vAlign w:val="center"/>
          </w:tcPr>
          <w:p w14:paraId="7A43E544">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3</w:t>
            </w:r>
          </w:p>
        </w:tc>
      </w:tr>
      <w:tr w14:paraId="6FB1B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1" w:type="pct"/>
            <w:vMerge w:val="continue"/>
            <w:noWrap w:val="0"/>
            <w:tcMar>
              <w:top w:w="0" w:type="dxa"/>
              <w:left w:w="57" w:type="dxa"/>
              <w:bottom w:w="0" w:type="dxa"/>
              <w:right w:w="57" w:type="dxa"/>
            </w:tcMar>
            <w:vAlign w:val="center"/>
          </w:tcPr>
          <w:p w14:paraId="7BB44189">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03" w:type="pct"/>
            <w:noWrap w:val="0"/>
            <w:tcMar>
              <w:top w:w="0" w:type="dxa"/>
              <w:left w:w="57" w:type="dxa"/>
              <w:bottom w:w="0" w:type="dxa"/>
              <w:right w:w="57" w:type="dxa"/>
            </w:tcMar>
            <w:vAlign w:val="center"/>
          </w:tcPr>
          <w:p w14:paraId="449FEC9D">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无环评</w:t>
            </w:r>
            <w:r>
              <w:rPr>
                <w:rFonts w:hint="eastAsia"/>
                <w:sz w:val="21"/>
                <w:szCs w:val="21"/>
              </w:rPr>
              <w:t>、</w:t>
            </w:r>
            <w:r>
              <w:rPr>
                <w:sz w:val="21"/>
                <w:szCs w:val="21"/>
              </w:rPr>
              <w:t>无验收</w:t>
            </w:r>
          </w:p>
        </w:tc>
        <w:tc>
          <w:tcPr>
            <w:tcW w:w="666" w:type="pct"/>
            <w:noWrap w:val="0"/>
            <w:tcMar>
              <w:top w:w="0" w:type="dxa"/>
              <w:left w:w="57" w:type="dxa"/>
              <w:bottom w:w="0" w:type="dxa"/>
              <w:right w:w="57" w:type="dxa"/>
            </w:tcMar>
            <w:vAlign w:val="center"/>
          </w:tcPr>
          <w:p w14:paraId="28F33C93">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5</w:t>
            </w:r>
          </w:p>
        </w:tc>
      </w:tr>
      <w:tr w14:paraId="2C961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1" w:type="pct"/>
            <w:vMerge w:val="restart"/>
            <w:noWrap w:val="0"/>
            <w:tcMar>
              <w:top w:w="0" w:type="dxa"/>
              <w:left w:w="57" w:type="dxa"/>
              <w:bottom w:w="0" w:type="dxa"/>
              <w:right w:w="57" w:type="dxa"/>
            </w:tcMar>
            <w:vAlign w:val="center"/>
          </w:tcPr>
          <w:p w14:paraId="173A6AE2">
            <w:pPr>
              <w:spacing w:before="20" w:after="20" w:line="300" w:lineRule="auto"/>
              <w:jc w:val="center"/>
              <w:rPr>
                <w:rFonts w:hint="eastAsia"/>
                <w:b/>
              </w:rPr>
            </w:pPr>
            <w:r>
              <w:rPr>
                <w:b/>
              </w:rPr>
              <w:t>违法行为</w:t>
            </w:r>
          </w:p>
          <w:p w14:paraId="7A4C6BE5">
            <w:pPr>
              <w:spacing w:before="20" w:after="20" w:line="300" w:lineRule="auto"/>
              <w:jc w:val="center"/>
              <w:rPr>
                <w:rFonts w:hint="eastAsia"/>
                <w:b/>
              </w:rPr>
            </w:pPr>
            <w:r>
              <w:rPr>
                <w:b/>
              </w:rPr>
              <w:t>持续时间</w:t>
            </w:r>
          </w:p>
        </w:tc>
        <w:tc>
          <w:tcPr>
            <w:tcW w:w="3703" w:type="pct"/>
            <w:noWrap w:val="0"/>
            <w:tcMar>
              <w:top w:w="0" w:type="dxa"/>
              <w:left w:w="57" w:type="dxa"/>
              <w:bottom w:w="0" w:type="dxa"/>
              <w:right w:w="57" w:type="dxa"/>
            </w:tcMar>
            <w:vAlign w:val="center"/>
          </w:tcPr>
          <w:p w14:paraId="455C67E5">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rFonts w:hint="eastAsia"/>
                <w:sz w:val="21"/>
                <w:szCs w:val="21"/>
              </w:rPr>
              <w:t>不足</w:t>
            </w:r>
            <w:r>
              <w:rPr>
                <w:sz w:val="21"/>
                <w:szCs w:val="21"/>
              </w:rPr>
              <w:t>5天</w:t>
            </w:r>
          </w:p>
        </w:tc>
        <w:tc>
          <w:tcPr>
            <w:tcW w:w="666" w:type="pct"/>
            <w:noWrap w:val="0"/>
            <w:tcMar>
              <w:top w:w="0" w:type="dxa"/>
              <w:left w:w="57" w:type="dxa"/>
              <w:bottom w:w="0" w:type="dxa"/>
              <w:right w:w="57" w:type="dxa"/>
            </w:tcMar>
            <w:vAlign w:val="center"/>
          </w:tcPr>
          <w:p w14:paraId="493E093F">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1</w:t>
            </w:r>
          </w:p>
        </w:tc>
      </w:tr>
      <w:tr w14:paraId="6DC4B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1" w:type="pct"/>
            <w:vMerge w:val="continue"/>
            <w:noWrap w:val="0"/>
            <w:tcMar>
              <w:top w:w="0" w:type="dxa"/>
              <w:left w:w="57" w:type="dxa"/>
              <w:bottom w:w="0" w:type="dxa"/>
              <w:right w:w="57" w:type="dxa"/>
            </w:tcMar>
            <w:vAlign w:val="center"/>
          </w:tcPr>
          <w:p w14:paraId="510C332B">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03" w:type="pct"/>
            <w:noWrap w:val="0"/>
            <w:tcMar>
              <w:top w:w="0" w:type="dxa"/>
              <w:left w:w="57" w:type="dxa"/>
              <w:bottom w:w="0" w:type="dxa"/>
              <w:right w:w="57" w:type="dxa"/>
            </w:tcMar>
            <w:vAlign w:val="center"/>
          </w:tcPr>
          <w:p w14:paraId="26606902">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5天以上</w:t>
            </w:r>
            <w:r>
              <w:rPr>
                <w:rFonts w:hint="eastAsia"/>
                <w:sz w:val="21"/>
                <w:szCs w:val="21"/>
              </w:rPr>
              <w:t>不足</w:t>
            </w:r>
            <w:r>
              <w:rPr>
                <w:sz w:val="21"/>
                <w:szCs w:val="21"/>
              </w:rPr>
              <w:t>10天</w:t>
            </w:r>
          </w:p>
        </w:tc>
        <w:tc>
          <w:tcPr>
            <w:tcW w:w="666" w:type="pct"/>
            <w:noWrap w:val="0"/>
            <w:tcMar>
              <w:top w:w="0" w:type="dxa"/>
              <w:left w:w="57" w:type="dxa"/>
              <w:bottom w:w="0" w:type="dxa"/>
              <w:right w:w="57" w:type="dxa"/>
            </w:tcMar>
            <w:vAlign w:val="center"/>
          </w:tcPr>
          <w:p w14:paraId="2CE6B336">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2</w:t>
            </w:r>
          </w:p>
        </w:tc>
      </w:tr>
      <w:tr w14:paraId="54C5F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1" w:type="pct"/>
            <w:vMerge w:val="continue"/>
            <w:noWrap w:val="0"/>
            <w:tcMar>
              <w:top w:w="0" w:type="dxa"/>
              <w:left w:w="57" w:type="dxa"/>
              <w:bottom w:w="0" w:type="dxa"/>
              <w:right w:w="57" w:type="dxa"/>
            </w:tcMar>
            <w:vAlign w:val="center"/>
          </w:tcPr>
          <w:p w14:paraId="4A2A35C2">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03" w:type="pct"/>
            <w:noWrap w:val="0"/>
            <w:tcMar>
              <w:top w:w="0" w:type="dxa"/>
              <w:left w:w="57" w:type="dxa"/>
              <w:bottom w:w="0" w:type="dxa"/>
              <w:right w:w="57" w:type="dxa"/>
            </w:tcMar>
            <w:vAlign w:val="center"/>
          </w:tcPr>
          <w:p w14:paraId="0B0F4F54">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10天以上</w:t>
            </w:r>
            <w:r>
              <w:rPr>
                <w:rFonts w:hint="eastAsia"/>
                <w:sz w:val="21"/>
                <w:szCs w:val="21"/>
              </w:rPr>
              <w:t>不足</w:t>
            </w:r>
            <w:r>
              <w:rPr>
                <w:sz w:val="21"/>
                <w:szCs w:val="21"/>
              </w:rPr>
              <w:t>20天</w:t>
            </w:r>
          </w:p>
        </w:tc>
        <w:tc>
          <w:tcPr>
            <w:tcW w:w="666" w:type="pct"/>
            <w:noWrap w:val="0"/>
            <w:tcMar>
              <w:top w:w="0" w:type="dxa"/>
              <w:left w:w="57" w:type="dxa"/>
              <w:bottom w:w="0" w:type="dxa"/>
              <w:right w:w="57" w:type="dxa"/>
            </w:tcMar>
            <w:vAlign w:val="center"/>
          </w:tcPr>
          <w:p w14:paraId="1F35AA44">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3</w:t>
            </w:r>
          </w:p>
        </w:tc>
      </w:tr>
      <w:tr w14:paraId="47805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1" w:type="pct"/>
            <w:vMerge w:val="continue"/>
            <w:noWrap w:val="0"/>
            <w:tcMar>
              <w:top w:w="0" w:type="dxa"/>
              <w:left w:w="57" w:type="dxa"/>
              <w:bottom w:w="0" w:type="dxa"/>
              <w:right w:w="57" w:type="dxa"/>
            </w:tcMar>
            <w:vAlign w:val="center"/>
          </w:tcPr>
          <w:p w14:paraId="589B659F">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03" w:type="pct"/>
            <w:noWrap w:val="0"/>
            <w:tcMar>
              <w:top w:w="0" w:type="dxa"/>
              <w:left w:w="57" w:type="dxa"/>
              <w:bottom w:w="0" w:type="dxa"/>
              <w:right w:w="57" w:type="dxa"/>
            </w:tcMar>
            <w:vAlign w:val="center"/>
          </w:tcPr>
          <w:p w14:paraId="3DD7836C">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20天以上</w:t>
            </w:r>
            <w:r>
              <w:rPr>
                <w:rFonts w:hint="eastAsia"/>
                <w:sz w:val="21"/>
                <w:szCs w:val="21"/>
              </w:rPr>
              <w:t>不足</w:t>
            </w:r>
            <w:r>
              <w:rPr>
                <w:sz w:val="21"/>
                <w:szCs w:val="21"/>
              </w:rPr>
              <w:t>1个月</w:t>
            </w:r>
          </w:p>
        </w:tc>
        <w:tc>
          <w:tcPr>
            <w:tcW w:w="666" w:type="pct"/>
            <w:noWrap w:val="0"/>
            <w:tcMar>
              <w:top w:w="0" w:type="dxa"/>
              <w:left w:w="57" w:type="dxa"/>
              <w:bottom w:w="0" w:type="dxa"/>
              <w:right w:w="57" w:type="dxa"/>
            </w:tcMar>
            <w:vAlign w:val="center"/>
          </w:tcPr>
          <w:p w14:paraId="72C593DB">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4</w:t>
            </w:r>
          </w:p>
        </w:tc>
      </w:tr>
      <w:tr w14:paraId="7618C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1" w:type="pct"/>
            <w:vMerge w:val="continue"/>
            <w:noWrap w:val="0"/>
            <w:tcMar>
              <w:top w:w="0" w:type="dxa"/>
              <w:left w:w="57" w:type="dxa"/>
              <w:bottom w:w="0" w:type="dxa"/>
              <w:right w:w="57" w:type="dxa"/>
            </w:tcMar>
            <w:vAlign w:val="center"/>
          </w:tcPr>
          <w:p w14:paraId="3179F0A0">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p>
        </w:tc>
        <w:tc>
          <w:tcPr>
            <w:tcW w:w="3703" w:type="pct"/>
            <w:noWrap w:val="0"/>
            <w:tcMar>
              <w:top w:w="0" w:type="dxa"/>
              <w:left w:w="57" w:type="dxa"/>
              <w:bottom w:w="0" w:type="dxa"/>
              <w:right w:w="57" w:type="dxa"/>
            </w:tcMar>
            <w:vAlign w:val="center"/>
          </w:tcPr>
          <w:p w14:paraId="7F3A3AC9">
            <w:pPr>
              <w:pStyle w:val="20"/>
              <w:autoSpaceDE w:val="0"/>
              <w:autoSpaceDN w:val="0"/>
              <w:adjustRightInd w:val="0"/>
              <w:snapToGrid w:val="0"/>
              <w:spacing w:before="20" w:after="20" w:line="300" w:lineRule="auto"/>
              <w:ind w:left="0" w:right="0" w:rightChars="0" w:firstLine="0"/>
              <w:textAlignment w:val="baseline"/>
              <w:rPr>
                <w:rFonts w:hint="eastAsia"/>
                <w:sz w:val="21"/>
                <w:szCs w:val="21"/>
              </w:rPr>
            </w:pPr>
            <w:r>
              <w:rPr>
                <w:sz w:val="21"/>
                <w:szCs w:val="21"/>
              </w:rPr>
              <w:t>1个月以上</w:t>
            </w:r>
          </w:p>
        </w:tc>
        <w:tc>
          <w:tcPr>
            <w:tcW w:w="666" w:type="pct"/>
            <w:noWrap w:val="0"/>
            <w:tcMar>
              <w:top w:w="0" w:type="dxa"/>
              <w:left w:w="57" w:type="dxa"/>
              <w:bottom w:w="0" w:type="dxa"/>
              <w:right w:w="57" w:type="dxa"/>
            </w:tcMar>
            <w:vAlign w:val="center"/>
          </w:tcPr>
          <w:p w14:paraId="11CC30DA">
            <w:pPr>
              <w:topLinePunct/>
              <w:autoSpaceDE w:val="0"/>
              <w:autoSpaceDN w:val="0"/>
              <w:adjustRightInd w:val="0"/>
              <w:snapToGrid w:val="0"/>
              <w:spacing w:before="20" w:after="20" w:line="300" w:lineRule="auto"/>
              <w:jc w:val="center"/>
              <w:textAlignment w:val="baseline"/>
              <w:rPr>
                <w:rFonts w:hint="eastAsia" w:ascii="宋体" w:hAnsi="宋体" w:eastAsia="宋体" w:cs="宋体"/>
                <w:kern w:val="0"/>
                <w:sz w:val="21"/>
                <w:szCs w:val="21"/>
              </w:rPr>
            </w:pPr>
            <w:r>
              <w:rPr>
                <w:rFonts w:ascii="宋体" w:hAnsi="宋体" w:eastAsia="宋体" w:cs="宋体"/>
                <w:kern w:val="0"/>
                <w:sz w:val="21"/>
                <w:szCs w:val="21"/>
              </w:rPr>
              <w:t>5</w:t>
            </w:r>
          </w:p>
        </w:tc>
      </w:tr>
    </w:tbl>
    <w:p w14:paraId="0B93C054">
      <w:pPr>
        <w:spacing w:before="40" w:after="40" w:line="400" w:lineRule="auto"/>
        <w:jc w:val="both"/>
        <w:rPr>
          <w:rFonts w:ascii="Times New Roman" w:hAnsi="Times New Roman" w:eastAsia="黑体"/>
          <w:b/>
          <w:sz w:val="24"/>
        </w:rPr>
      </w:pPr>
      <w:r>
        <w:rPr>
          <w:rFonts w:hint="eastAsia" w:ascii="Times New Roman" w:hAnsi="Times New Roman" w:eastAsia="黑体"/>
          <w:b/>
          <w:sz w:val="24"/>
        </w:rPr>
        <w:t>4.</w:t>
      </w:r>
      <w:r>
        <w:rPr>
          <w:rFonts w:ascii="Times New Roman" w:hAnsi="Times New Roman" w:eastAsia="黑体"/>
          <w:b/>
          <w:sz w:val="24"/>
        </w:rPr>
        <w:t>未向社会公开或者不如实公开污染物排放信息、温室气体排放信息等生态环境信息的行为</w:t>
      </w:r>
    </w:p>
    <w:tbl>
      <w:tblPr>
        <w:tblStyle w:val="8"/>
        <w:tblW w:w="49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77"/>
        <w:gridCol w:w="6864"/>
        <w:gridCol w:w="1033"/>
      </w:tblGrid>
      <w:tr w14:paraId="75520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noWrap w:val="0"/>
            <w:tcMar>
              <w:top w:w="0" w:type="dxa"/>
              <w:left w:w="57" w:type="dxa"/>
              <w:bottom w:w="0" w:type="dxa"/>
              <w:right w:w="57" w:type="dxa"/>
            </w:tcMar>
            <w:vAlign w:val="center"/>
          </w:tcPr>
          <w:p w14:paraId="3E57A810">
            <w:pPr>
              <w:spacing w:before="20" w:after="20" w:line="300" w:lineRule="auto"/>
              <w:jc w:val="center"/>
              <w:rPr>
                <w:rFonts w:hint="eastAsia"/>
                <w:b/>
              </w:rPr>
            </w:pPr>
            <w:r>
              <w:rPr>
                <w:b/>
              </w:rPr>
              <w:t>违反条款</w:t>
            </w:r>
          </w:p>
        </w:tc>
        <w:tc>
          <w:tcPr>
            <w:tcW w:w="4351" w:type="pct"/>
            <w:gridSpan w:val="2"/>
            <w:noWrap w:val="0"/>
            <w:tcMar>
              <w:top w:w="0" w:type="dxa"/>
              <w:left w:w="57" w:type="dxa"/>
              <w:bottom w:w="0" w:type="dxa"/>
              <w:right w:w="57" w:type="dxa"/>
            </w:tcMar>
            <w:vAlign w:val="center"/>
          </w:tcPr>
          <w:p w14:paraId="2BABAB41">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1.《中华人民共和国生态环境法典》第一百四十条第二款　实行排污许可重点管理和其他法定的应当披露生态环境信息的企业事业单位和其他生产经营者，应当依法及时、真实、准确、完整披露污染物排放信息、温室气体排放信息等生态环境信息。</w:t>
            </w:r>
          </w:p>
          <w:p w14:paraId="2DF0A5F3">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第一百八十五条 实行排污许可管理的企业事业单位和其他生产经营者应当按照规定向社会公开污染物排放种类、排放浓度和排放量，以及污染防治设施的建设运行情况、自行监测数据等污染物排放信息，接受社会监督。</w:t>
            </w:r>
          </w:p>
          <w:p w14:paraId="23576750">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第二百七十四条第二款　排放前款规定名录中所列有毒有害水污染物的企业事业单位和其他生产经营者，应当对排污口和周边环境进行监测，评估环境风险，排查环境安全隐患，并向社会公开有毒有害水污染物信息，采取有效措施防范环境风险。</w:t>
            </w:r>
          </w:p>
          <w:p w14:paraId="010B0201">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第四百八十五条第二款 产生、收集、贮存、运输、利用、处置固体废物的单位，应当依法及时向社会公开固体废物污染防治信息，接受社会监督。</w:t>
            </w:r>
          </w:p>
          <w:p w14:paraId="331FA173">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2.《生态环境监测条例》（2026修订版）第二十六条第二款 企事业单位应当依法公开自行监测相关信息，接受社会监督。</w:t>
            </w:r>
          </w:p>
          <w:p w14:paraId="48C1739E">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3.《排污许可管理条例》第二十三条　排污单位应当按照排污许可证规定，如实在全国排污许可证管理信息平台上公开污染物排放信息。</w:t>
            </w:r>
          </w:p>
          <w:p w14:paraId="26B8E8F8">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污染物排放信息应当包括污染物排放种类、排放浓度和排放量，以及污染防治设施的建设运行情况、排污许可证执行报告、自行监测数据等；其中，水污染物排入市政排水管网的，还应当包括污水接入市政排水管网位置、排放方式等信息。</w:t>
            </w:r>
          </w:p>
          <w:p w14:paraId="7FD4B42C">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4.《云南省固体废物污染环境防治条例》（2026修订版）第十二条 州（市）人民政府生态环境主管部门应当会同工业和信息化、住房城乡建设、农业农村、卫生健康等主管部门，每年向社会发布固体废物的种类、产生量、贮存量、处置能力、利用处置状况等信息。</w:t>
            </w:r>
          </w:p>
          <w:p w14:paraId="7A4C0B2E">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产生、收集、贮存、运输、利用、处置固体废物的单位和其他生产经营者，应当加强对相关设施、设备和场所的管理和维护，保证其正常运行和使用；单位应当依法及时向社会公开固体废物的种类、产生量、流向、贮存、利用、处置等固体废物污染环境防治信息，主动接受社会监督。</w:t>
            </w:r>
          </w:p>
          <w:p w14:paraId="674163AC">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利用、处置固体废物的单位，应当依法向社会公众开放设施、场所，增强公众环境保护意识和参与程度。</w:t>
            </w:r>
          </w:p>
          <w:p w14:paraId="7CC6B435">
            <w:pPr>
              <w:autoSpaceDE w:val="0"/>
              <w:autoSpaceDN w:val="0"/>
              <w:adjustRightInd w:val="0"/>
              <w:snapToGrid w:val="0"/>
              <w:spacing w:before="20" w:after="20" w:line="300" w:lineRule="auto"/>
              <w:jc w:val="both"/>
              <w:textAlignment w:val="baseline"/>
              <w:rPr>
                <w:rFonts w:hint="eastAsia" w:ascii="宋体" w:hAnsi="宋体" w:eastAsia="宋体"/>
                <w:b/>
                <w:bCs/>
                <w:kern w:val="0"/>
                <w:sz w:val="21"/>
                <w:szCs w:val="21"/>
              </w:rPr>
            </w:pPr>
            <w:r>
              <w:rPr>
                <w:rFonts w:hint="eastAsia" w:ascii="宋体" w:hAnsi="宋体" w:eastAsia="宋体"/>
                <w:b/>
                <w:bCs/>
                <w:kern w:val="0"/>
                <w:sz w:val="21"/>
                <w:szCs w:val="21"/>
              </w:rPr>
              <w:t>5.《云南省大气污染防治条例》</w:t>
            </w:r>
            <w:r>
              <w:rPr>
                <w:rFonts w:ascii="宋体" w:hAnsi="宋体" w:eastAsia="宋体"/>
                <w:b/>
                <w:bCs/>
                <w:kern w:val="0"/>
                <w:sz w:val="21"/>
                <w:szCs w:val="21"/>
              </w:rPr>
              <w:t>（2026修订版）</w:t>
            </w:r>
            <w:r>
              <w:rPr>
                <w:rFonts w:hint="eastAsia" w:ascii="宋体" w:hAnsi="宋体" w:eastAsia="宋体"/>
                <w:b/>
                <w:bCs/>
                <w:kern w:val="0"/>
                <w:sz w:val="21"/>
                <w:szCs w:val="21"/>
              </w:rPr>
              <w:t xml:space="preserve">第十四条第三款 </w:t>
            </w:r>
            <w:r>
              <w:rPr>
                <w:rFonts w:ascii="宋体" w:hAnsi="宋体" w:eastAsia="宋体"/>
                <w:b/>
                <w:bCs/>
                <w:kern w:val="0"/>
                <w:sz w:val="21"/>
                <w:szCs w:val="21"/>
              </w:rPr>
              <w:t>实行排污许可重点管理的企业事业单位和其他生产经营者，应当按照国家规定安装、使用、维护污染物排放自动监测设备，开展监控、自动监测，并与生态环境主管部门的监控设备联网，保证自动监测设备正常运行，保存原始监测记录；应当依法及时、真实、准确、完整披露污染物排放信息、温室气体排放信息等生态环境信息。</w:t>
            </w:r>
          </w:p>
          <w:p w14:paraId="5E03C70C">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hint="eastAsia" w:ascii="宋体" w:hAnsi="宋体" w:eastAsia="宋体"/>
                <w:b/>
                <w:bCs/>
                <w:color w:val="auto"/>
                <w:kern w:val="0"/>
                <w:sz w:val="21"/>
                <w:szCs w:val="21"/>
              </w:rPr>
              <w:t>6.《昆明市大气污染防治条例》</w:t>
            </w:r>
            <w:r>
              <w:rPr>
                <w:rFonts w:ascii="宋体" w:hAnsi="宋体" w:eastAsia="宋体"/>
                <w:b/>
                <w:bCs/>
                <w:color w:val="auto"/>
                <w:kern w:val="0"/>
                <w:sz w:val="21"/>
                <w:szCs w:val="21"/>
              </w:rPr>
              <w:t>（2026修订版）</w:t>
            </w:r>
            <w:r>
              <w:rPr>
                <w:rFonts w:hint="eastAsia" w:ascii="宋体" w:hAnsi="宋体" w:eastAsia="宋体"/>
                <w:b/>
                <w:bCs/>
                <w:color w:val="auto"/>
                <w:kern w:val="0"/>
                <w:sz w:val="21"/>
                <w:szCs w:val="21"/>
              </w:rPr>
              <w:t xml:space="preserve">第十七条第一款 </w:t>
            </w:r>
            <w:r>
              <w:rPr>
                <w:rFonts w:ascii="宋体" w:hAnsi="宋体" w:eastAsia="宋体"/>
                <w:b/>
                <w:bCs/>
                <w:color w:val="auto"/>
                <w:kern w:val="0"/>
                <w:sz w:val="21"/>
                <w:szCs w:val="21"/>
              </w:rPr>
              <w:t>实行排污许可重点管理的企业事业单位和其他生产经营者应当按照规定安装、使用、维护大气污染物排放自动监测设备，开展监控、自动监测，并与生态环境主管部门的监控平台（设备）联网，保证自动监测设备正常运行，保存原始监测记录，并依法公开排放信息。</w:t>
            </w:r>
          </w:p>
        </w:tc>
      </w:tr>
      <w:tr w14:paraId="3343C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noWrap w:val="0"/>
            <w:tcMar>
              <w:top w:w="0" w:type="dxa"/>
              <w:left w:w="57" w:type="dxa"/>
              <w:bottom w:w="0" w:type="dxa"/>
              <w:right w:w="57" w:type="dxa"/>
            </w:tcMar>
            <w:vAlign w:val="center"/>
          </w:tcPr>
          <w:p w14:paraId="08B11C44">
            <w:pPr>
              <w:spacing w:before="20" w:after="20" w:line="300" w:lineRule="auto"/>
              <w:jc w:val="center"/>
              <w:rPr>
                <w:rFonts w:hint="eastAsia"/>
                <w:b/>
              </w:rPr>
            </w:pPr>
            <w:r>
              <w:rPr>
                <w:b/>
              </w:rPr>
              <w:t>处罚依据</w:t>
            </w:r>
          </w:p>
        </w:tc>
        <w:tc>
          <w:tcPr>
            <w:tcW w:w="4351" w:type="pct"/>
            <w:gridSpan w:val="2"/>
            <w:noWrap w:val="0"/>
            <w:tcMar>
              <w:top w:w="0" w:type="dxa"/>
              <w:left w:w="57" w:type="dxa"/>
              <w:bottom w:w="0" w:type="dxa"/>
              <w:right w:w="57" w:type="dxa"/>
            </w:tcMar>
            <w:vAlign w:val="center"/>
          </w:tcPr>
          <w:p w14:paraId="0D353A4D">
            <w:pPr>
              <w:spacing w:before="20" w:after="20" w:line="300" w:lineRule="auto"/>
              <w:ind w:left="11" w:right="110" w:rightChars="50" w:hanging="11"/>
              <w:jc w:val="both"/>
              <w:rPr>
                <w:rFonts w:hint="eastAsia" w:ascii="宋体" w:hAnsi="宋体" w:eastAsia="宋体"/>
                <w:kern w:val="0"/>
                <w:sz w:val="21"/>
                <w:szCs w:val="21"/>
              </w:rPr>
            </w:pPr>
            <w:r>
              <w:rPr>
                <w:rFonts w:ascii="宋体" w:hAnsi="宋体" w:eastAsia="宋体"/>
                <w:kern w:val="0"/>
                <w:sz w:val="21"/>
                <w:szCs w:val="21"/>
              </w:rPr>
              <w:t>1.《中华人民共和国生态环境法典》第一千一百一十条 违反本法规定，未向社会公开或者不如实公开污染物排放信息、温室气体排放信息等生态环境信息的，由负有生态环境保护监督管理职责的部门、机构按照职责分工责令改正，处二万元以上二十万元以下的罚款；拒不改正的，责令限制生产、停产整治，并公告上述生态环境信息。</w:t>
            </w:r>
          </w:p>
          <w:p w14:paraId="3862A480">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2.《</w:t>
            </w:r>
            <w:bookmarkStart w:id="20" w:name="OLE_LINK9"/>
            <w:r>
              <w:rPr>
                <w:rFonts w:ascii="宋体" w:hAnsi="宋体" w:eastAsia="宋体"/>
                <w:kern w:val="0"/>
                <w:sz w:val="21"/>
                <w:szCs w:val="21"/>
              </w:rPr>
              <w:t>生态环境监测条例</w:t>
            </w:r>
            <w:bookmarkEnd w:id="20"/>
            <w:r>
              <w:rPr>
                <w:rFonts w:ascii="宋体" w:hAnsi="宋体" w:eastAsia="宋体"/>
                <w:kern w:val="0"/>
                <w:sz w:val="21"/>
                <w:szCs w:val="21"/>
              </w:rPr>
              <w:t>》（2026修订版）第四十二条第九项　企事业单位在开展自行监测中有下列情形之一的，由生态环境主管部门或者其他有关部门依据职责责令改正，处2万元以上20万元以下的罚款；拒不改正的，可以责令限制生产、停产整治：</w:t>
            </w:r>
          </w:p>
          <w:p w14:paraId="3DB31824">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（九）未依法公开或者不如实公开自行监测相关信息</w:t>
            </w:r>
          </w:p>
          <w:p w14:paraId="7903948E">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3.《排污许可管理条例》第三十六条第七项　违反本条例规定，排污单位有下列行为之一的，由生态环境主管部门责令改正，处2万元以上20万元以下的罚款；拒不改正的，责令停产整治：</w:t>
            </w:r>
          </w:p>
          <w:p w14:paraId="66F0FED9">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（七）未按照排污许可证规定公开或者不如实公开污染物排放信息；</w:t>
            </w:r>
          </w:p>
          <w:p w14:paraId="618AD784">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p>
        </w:tc>
      </w:tr>
      <w:tr w14:paraId="4F90A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noWrap w:val="0"/>
            <w:tcMar>
              <w:top w:w="0" w:type="dxa"/>
              <w:left w:w="57" w:type="dxa"/>
              <w:bottom w:w="0" w:type="dxa"/>
              <w:right w:w="57" w:type="dxa"/>
            </w:tcMar>
            <w:vAlign w:val="center"/>
          </w:tcPr>
          <w:p w14:paraId="441FF602">
            <w:pPr>
              <w:spacing w:before="20" w:after="20" w:line="300" w:lineRule="auto"/>
              <w:jc w:val="center"/>
              <w:rPr>
                <w:rFonts w:hint="eastAsia"/>
                <w:b/>
              </w:rPr>
            </w:pPr>
            <w:r>
              <w:rPr>
                <w:b/>
              </w:rPr>
              <w:t>裁量因素</w:t>
            </w:r>
          </w:p>
        </w:tc>
        <w:tc>
          <w:tcPr>
            <w:tcW w:w="3782" w:type="pct"/>
            <w:noWrap w:val="0"/>
            <w:tcMar>
              <w:top w:w="0" w:type="dxa"/>
              <w:left w:w="57" w:type="dxa"/>
              <w:bottom w:w="0" w:type="dxa"/>
              <w:right w:w="57" w:type="dxa"/>
            </w:tcMar>
            <w:vAlign w:val="center"/>
          </w:tcPr>
          <w:p w14:paraId="5383D33C">
            <w:pPr>
              <w:spacing w:before="20" w:after="20" w:line="300" w:lineRule="auto"/>
              <w:jc w:val="center"/>
              <w:rPr>
                <w:rFonts w:hint="eastAsia"/>
                <w:b/>
              </w:rPr>
            </w:pPr>
            <w:r>
              <w:rPr>
                <w:b/>
              </w:rPr>
              <w:t>裁量因子</w:t>
            </w:r>
          </w:p>
        </w:tc>
        <w:tc>
          <w:tcPr>
            <w:tcW w:w="569" w:type="pct"/>
            <w:noWrap w:val="0"/>
            <w:tcMar>
              <w:top w:w="0" w:type="dxa"/>
              <w:left w:w="57" w:type="dxa"/>
              <w:bottom w:w="0" w:type="dxa"/>
              <w:right w:w="57" w:type="dxa"/>
            </w:tcMar>
            <w:vAlign w:val="center"/>
          </w:tcPr>
          <w:p w14:paraId="51731811">
            <w:pPr>
              <w:spacing w:before="20" w:after="20" w:line="300" w:lineRule="auto"/>
              <w:jc w:val="center"/>
              <w:rPr>
                <w:rFonts w:hint="eastAsia"/>
                <w:b/>
              </w:rPr>
            </w:pPr>
            <w:r>
              <w:rPr>
                <w:b/>
              </w:rPr>
              <w:t>裁量等级</w:t>
            </w:r>
          </w:p>
        </w:tc>
      </w:tr>
      <w:tr w14:paraId="0A73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restart"/>
            <w:noWrap w:val="0"/>
            <w:tcMar>
              <w:top w:w="0" w:type="dxa"/>
              <w:left w:w="57" w:type="dxa"/>
              <w:bottom w:w="0" w:type="dxa"/>
              <w:right w:w="57" w:type="dxa"/>
            </w:tcMar>
            <w:vAlign w:val="center"/>
          </w:tcPr>
          <w:p w14:paraId="75F00D09">
            <w:pPr>
              <w:spacing w:before="20" w:after="20" w:line="300" w:lineRule="auto"/>
              <w:jc w:val="center"/>
              <w:rPr>
                <w:rFonts w:hint="eastAsia"/>
                <w:b/>
              </w:rPr>
            </w:pPr>
            <w:r>
              <w:rPr>
                <w:b/>
              </w:rPr>
              <w:t>违法事实</w:t>
            </w:r>
          </w:p>
        </w:tc>
        <w:tc>
          <w:tcPr>
            <w:tcW w:w="3782" w:type="pct"/>
            <w:noWrap w:val="0"/>
            <w:tcMar>
              <w:top w:w="0" w:type="dxa"/>
              <w:left w:w="57" w:type="dxa"/>
              <w:bottom w:w="0" w:type="dxa"/>
              <w:right w:w="57" w:type="dxa"/>
            </w:tcMar>
            <w:vAlign w:val="center"/>
          </w:tcPr>
          <w:p w14:paraId="4782BF82">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已公开信息，但内容不全的</w:t>
            </w:r>
          </w:p>
        </w:tc>
        <w:tc>
          <w:tcPr>
            <w:tcW w:w="569" w:type="pct"/>
            <w:noWrap w:val="0"/>
            <w:tcMar>
              <w:top w:w="0" w:type="dxa"/>
              <w:left w:w="57" w:type="dxa"/>
              <w:bottom w:w="0" w:type="dxa"/>
              <w:right w:w="57" w:type="dxa"/>
            </w:tcMar>
            <w:vAlign w:val="center"/>
          </w:tcPr>
          <w:p w14:paraId="304A7D05">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kern w:val="0"/>
                <w:sz w:val="21"/>
                <w:szCs w:val="21"/>
              </w:rPr>
              <w:t>1</w:t>
            </w:r>
          </w:p>
        </w:tc>
      </w:tr>
      <w:tr w14:paraId="3910A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5FB1182A">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p>
        </w:tc>
        <w:tc>
          <w:tcPr>
            <w:tcW w:w="3782" w:type="pct"/>
            <w:noWrap w:val="0"/>
            <w:tcMar>
              <w:top w:w="0" w:type="dxa"/>
              <w:left w:w="57" w:type="dxa"/>
              <w:bottom w:w="0" w:type="dxa"/>
              <w:right w:w="57" w:type="dxa"/>
            </w:tcMar>
            <w:vAlign w:val="center"/>
          </w:tcPr>
          <w:p w14:paraId="7C010BD9">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未公开信息的</w:t>
            </w:r>
          </w:p>
        </w:tc>
        <w:tc>
          <w:tcPr>
            <w:tcW w:w="569" w:type="pct"/>
            <w:noWrap w:val="0"/>
            <w:tcMar>
              <w:top w:w="0" w:type="dxa"/>
              <w:left w:w="57" w:type="dxa"/>
              <w:bottom w:w="0" w:type="dxa"/>
              <w:right w:w="57" w:type="dxa"/>
            </w:tcMar>
            <w:vAlign w:val="center"/>
          </w:tcPr>
          <w:p w14:paraId="6B251236">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kern w:val="0"/>
                <w:sz w:val="21"/>
                <w:szCs w:val="21"/>
              </w:rPr>
              <w:t>3</w:t>
            </w:r>
          </w:p>
        </w:tc>
      </w:tr>
      <w:tr w14:paraId="1AC64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48EE8A21">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p>
        </w:tc>
        <w:tc>
          <w:tcPr>
            <w:tcW w:w="3782" w:type="pct"/>
            <w:noWrap w:val="0"/>
            <w:tcMar>
              <w:top w:w="0" w:type="dxa"/>
              <w:left w:w="57" w:type="dxa"/>
              <w:bottom w:w="0" w:type="dxa"/>
              <w:right w:w="57" w:type="dxa"/>
            </w:tcMar>
            <w:vAlign w:val="center"/>
          </w:tcPr>
          <w:p w14:paraId="2CB74275">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公开的信息存在弄虚作假的</w:t>
            </w:r>
          </w:p>
        </w:tc>
        <w:tc>
          <w:tcPr>
            <w:tcW w:w="569" w:type="pct"/>
            <w:noWrap w:val="0"/>
            <w:tcMar>
              <w:top w:w="0" w:type="dxa"/>
              <w:left w:w="57" w:type="dxa"/>
              <w:bottom w:w="0" w:type="dxa"/>
              <w:right w:w="57" w:type="dxa"/>
            </w:tcMar>
            <w:vAlign w:val="center"/>
          </w:tcPr>
          <w:p w14:paraId="15535E8F">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kern w:val="0"/>
                <w:sz w:val="21"/>
                <w:szCs w:val="21"/>
              </w:rPr>
              <w:t>5</w:t>
            </w:r>
          </w:p>
        </w:tc>
      </w:tr>
      <w:tr w14:paraId="59426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restart"/>
            <w:noWrap w:val="0"/>
            <w:tcMar>
              <w:top w:w="0" w:type="dxa"/>
              <w:left w:w="57" w:type="dxa"/>
              <w:bottom w:w="0" w:type="dxa"/>
              <w:right w:w="57" w:type="dxa"/>
            </w:tcMar>
            <w:vAlign w:val="center"/>
          </w:tcPr>
          <w:p w14:paraId="3AA9D063">
            <w:pPr>
              <w:spacing w:before="20" w:after="20" w:line="300" w:lineRule="auto"/>
              <w:jc w:val="center"/>
              <w:rPr>
                <w:rFonts w:hint="eastAsia"/>
                <w:b/>
              </w:rPr>
            </w:pPr>
            <w:r>
              <w:rPr>
                <w:b/>
              </w:rPr>
              <w:t>违法行为</w:t>
            </w:r>
          </w:p>
          <w:p w14:paraId="611302AD">
            <w:pPr>
              <w:spacing w:before="20" w:after="20" w:line="300" w:lineRule="auto"/>
              <w:jc w:val="center"/>
              <w:rPr>
                <w:rFonts w:hint="eastAsia"/>
                <w:b/>
              </w:rPr>
            </w:pPr>
            <w:r>
              <w:rPr>
                <w:b/>
              </w:rPr>
              <w:t>持续时间</w:t>
            </w:r>
          </w:p>
        </w:tc>
        <w:tc>
          <w:tcPr>
            <w:tcW w:w="3782" w:type="pct"/>
            <w:noWrap w:val="0"/>
            <w:tcMar>
              <w:top w:w="0" w:type="dxa"/>
              <w:left w:w="57" w:type="dxa"/>
              <w:bottom w:w="0" w:type="dxa"/>
              <w:right w:w="57" w:type="dxa"/>
            </w:tcMar>
            <w:vAlign w:val="center"/>
          </w:tcPr>
          <w:p w14:paraId="6E250F16">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spacing w:val="7"/>
                <w:kern w:val="0"/>
                <w:sz w:val="21"/>
                <w:szCs w:val="21"/>
              </w:rPr>
              <w:t>不足</w:t>
            </w:r>
            <w:r>
              <w:rPr>
                <w:rFonts w:ascii="宋体" w:hAnsi="宋体" w:eastAsia="宋体"/>
                <w:kern w:val="0"/>
                <w:sz w:val="21"/>
                <w:szCs w:val="21"/>
              </w:rPr>
              <w:t>5天</w:t>
            </w:r>
          </w:p>
        </w:tc>
        <w:tc>
          <w:tcPr>
            <w:tcW w:w="569" w:type="pct"/>
            <w:noWrap w:val="0"/>
            <w:tcMar>
              <w:top w:w="0" w:type="dxa"/>
              <w:left w:w="57" w:type="dxa"/>
              <w:bottom w:w="0" w:type="dxa"/>
              <w:right w:w="57" w:type="dxa"/>
            </w:tcMar>
            <w:vAlign w:val="center"/>
          </w:tcPr>
          <w:p w14:paraId="074B7705">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kern w:val="0"/>
                <w:sz w:val="21"/>
                <w:szCs w:val="21"/>
              </w:rPr>
              <w:t>1</w:t>
            </w:r>
          </w:p>
        </w:tc>
      </w:tr>
      <w:tr w14:paraId="6E810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5B840E77">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p>
        </w:tc>
        <w:tc>
          <w:tcPr>
            <w:tcW w:w="3782" w:type="pct"/>
            <w:noWrap w:val="0"/>
            <w:tcMar>
              <w:top w:w="0" w:type="dxa"/>
              <w:left w:w="57" w:type="dxa"/>
              <w:bottom w:w="0" w:type="dxa"/>
              <w:right w:w="57" w:type="dxa"/>
            </w:tcMar>
            <w:vAlign w:val="center"/>
          </w:tcPr>
          <w:p w14:paraId="118442C2">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5天以上</w:t>
            </w:r>
            <w:r>
              <w:rPr>
                <w:rFonts w:ascii="宋体" w:hAnsi="宋体" w:eastAsia="宋体"/>
                <w:spacing w:val="7"/>
                <w:kern w:val="0"/>
                <w:sz w:val="21"/>
                <w:szCs w:val="21"/>
              </w:rPr>
              <w:t>不足</w:t>
            </w:r>
            <w:r>
              <w:rPr>
                <w:rFonts w:ascii="宋体" w:hAnsi="宋体" w:eastAsia="宋体"/>
                <w:kern w:val="0"/>
                <w:sz w:val="21"/>
                <w:szCs w:val="21"/>
              </w:rPr>
              <w:t>10天</w:t>
            </w:r>
          </w:p>
        </w:tc>
        <w:tc>
          <w:tcPr>
            <w:tcW w:w="569" w:type="pct"/>
            <w:noWrap w:val="0"/>
            <w:tcMar>
              <w:top w:w="0" w:type="dxa"/>
              <w:left w:w="57" w:type="dxa"/>
              <w:bottom w:w="0" w:type="dxa"/>
              <w:right w:w="57" w:type="dxa"/>
            </w:tcMar>
            <w:vAlign w:val="center"/>
          </w:tcPr>
          <w:p w14:paraId="71C8A240">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kern w:val="0"/>
                <w:sz w:val="21"/>
                <w:szCs w:val="21"/>
              </w:rPr>
              <w:t>2</w:t>
            </w:r>
          </w:p>
        </w:tc>
      </w:tr>
      <w:tr w14:paraId="66519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71FC2F37">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p>
        </w:tc>
        <w:tc>
          <w:tcPr>
            <w:tcW w:w="3782" w:type="pct"/>
            <w:noWrap w:val="0"/>
            <w:tcMar>
              <w:top w:w="0" w:type="dxa"/>
              <w:left w:w="57" w:type="dxa"/>
              <w:bottom w:w="0" w:type="dxa"/>
              <w:right w:w="57" w:type="dxa"/>
            </w:tcMar>
            <w:vAlign w:val="center"/>
          </w:tcPr>
          <w:p w14:paraId="35BADE89">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10天以上</w:t>
            </w:r>
            <w:r>
              <w:rPr>
                <w:rFonts w:ascii="宋体" w:hAnsi="宋体" w:eastAsia="宋体"/>
                <w:spacing w:val="7"/>
                <w:kern w:val="0"/>
                <w:sz w:val="21"/>
                <w:szCs w:val="21"/>
              </w:rPr>
              <w:t>不足</w:t>
            </w:r>
            <w:r>
              <w:rPr>
                <w:rFonts w:ascii="宋体" w:hAnsi="宋体" w:eastAsia="宋体"/>
                <w:kern w:val="0"/>
                <w:sz w:val="21"/>
                <w:szCs w:val="21"/>
              </w:rPr>
              <w:t>20天</w:t>
            </w:r>
          </w:p>
        </w:tc>
        <w:tc>
          <w:tcPr>
            <w:tcW w:w="569" w:type="pct"/>
            <w:noWrap w:val="0"/>
            <w:tcMar>
              <w:top w:w="0" w:type="dxa"/>
              <w:left w:w="57" w:type="dxa"/>
              <w:bottom w:w="0" w:type="dxa"/>
              <w:right w:w="57" w:type="dxa"/>
            </w:tcMar>
            <w:vAlign w:val="center"/>
          </w:tcPr>
          <w:p w14:paraId="53B5602F">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kern w:val="0"/>
                <w:sz w:val="21"/>
                <w:szCs w:val="21"/>
              </w:rPr>
              <w:t>3</w:t>
            </w:r>
          </w:p>
        </w:tc>
      </w:tr>
      <w:tr w14:paraId="46922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4D3CCE88">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p>
        </w:tc>
        <w:tc>
          <w:tcPr>
            <w:tcW w:w="3782" w:type="pct"/>
            <w:noWrap w:val="0"/>
            <w:tcMar>
              <w:top w:w="0" w:type="dxa"/>
              <w:left w:w="57" w:type="dxa"/>
              <w:bottom w:w="0" w:type="dxa"/>
              <w:right w:w="57" w:type="dxa"/>
            </w:tcMar>
            <w:vAlign w:val="center"/>
          </w:tcPr>
          <w:p w14:paraId="18F7D5E2">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20天以上</w:t>
            </w:r>
            <w:r>
              <w:rPr>
                <w:rFonts w:ascii="宋体" w:hAnsi="宋体" w:eastAsia="宋体"/>
                <w:spacing w:val="7"/>
                <w:kern w:val="0"/>
                <w:sz w:val="21"/>
                <w:szCs w:val="21"/>
              </w:rPr>
              <w:t>不足</w:t>
            </w:r>
            <w:r>
              <w:rPr>
                <w:rFonts w:ascii="宋体" w:hAnsi="宋体" w:eastAsia="宋体"/>
                <w:kern w:val="0"/>
                <w:sz w:val="21"/>
                <w:szCs w:val="21"/>
              </w:rPr>
              <w:t>1个月</w:t>
            </w:r>
          </w:p>
        </w:tc>
        <w:tc>
          <w:tcPr>
            <w:tcW w:w="569" w:type="pct"/>
            <w:noWrap w:val="0"/>
            <w:tcMar>
              <w:top w:w="0" w:type="dxa"/>
              <w:left w:w="57" w:type="dxa"/>
              <w:bottom w:w="0" w:type="dxa"/>
              <w:right w:w="57" w:type="dxa"/>
            </w:tcMar>
            <w:vAlign w:val="center"/>
          </w:tcPr>
          <w:p w14:paraId="0E5F3CA1">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spacing w:val="1"/>
                <w:kern w:val="0"/>
                <w:sz w:val="21"/>
                <w:szCs w:val="21"/>
              </w:rPr>
              <w:t>4</w:t>
            </w:r>
          </w:p>
        </w:tc>
      </w:tr>
      <w:tr w14:paraId="78001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4962AC4A">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p>
        </w:tc>
        <w:tc>
          <w:tcPr>
            <w:tcW w:w="3782" w:type="pct"/>
            <w:noWrap w:val="0"/>
            <w:tcMar>
              <w:top w:w="0" w:type="dxa"/>
              <w:left w:w="57" w:type="dxa"/>
              <w:bottom w:w="0" w:type="dxa"/>
              <w:right w:w="57" w:type="dxa"/>
            </w:tcMar>
            <w:vAlign w:val="center"/>
          </w:tcPr>
          <w:p w14:paraId="7B479E15">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1个月以上</w:t>
            </w:r>
          </w:p>
        </w:tc>
        <w:tc>
          <w:tcPr>
            <w:tcW w:w="569" w:type="pct"/>
            <w:noWrap w:val="0"/>
            <w:tcMar>
              <w:top w:w="0" w:type="dxa"/>
              <w:left w:w="57" w:type="dxa"/>
              <w:bottom w:w="0" w:type="dxa"/>
              <w:right w:w="57" w:type="dxa"/>
            </w:tcMar>
            <w:vAlign w:val="center"/>
          </w:tcPr>
          <w:p w14:paraId="7D3D5A23">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kern w:val="0"/>
                <w:sz w:val="21"/>
                <w:szCs w:val="21"/>
              </w:rPr>
              <w:t>5</w:t>
            </w:r>
          </w:p>
        </w:tc>
      </w:tr>
      <w:tr w14:paraId="3352F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restart"/>
            <w:noWrap w:val="0"/>
            <w:tcMar>
              <w:top w:w="0" w:type="dxa"/>
              <w:left w:w="57" w:type="dxa"/>
              <w:bottom w:w="0" w:type="dxa"/>
              <w:right w:w="57" w:type="dxa"/>
            </w:tcMar>
            <w:vAlign w:val="center"/>
          </w:tcPr>
          <w:p w14:paraId="4F13F490">
            <w:pPr>
              <w:spacing w:before="20" w:after="20" w:line="300" w:lineRule="auto"/>
              <w:jc w:val="center"/>
              <w:rPr>
                <w:rFonts w:hint="eastAsia"/>
                <w:b/>
              </w:rPr>
            </w:pPr>
            <w:r>
              <w:rPr>
                <w:b/>
              </w:rPr>
              <w:t>废水类别</w:t>
            </w:r>
          </w:p>
        </w:tc>
        <w:tc>
          <w:tcPr>
            <w:tcW w:w="3782" w:type="pct"/>
            <w:noWrap w:val="0"/>
            <w:tcMar>
              <w:top w:w="0" w:type="dxa"/>
              <w:left w:w="57" w:type="dxa"/>
              <w:bottom w:w="0" w:type="dxa"/>
              <w:right w:w="57" w:type="dxa"/>
            </w:tcMar>
            <w:vAlign w:val="center"/>
          </w:tcPr>
          <w:p w14:paraId="4A1CFF99">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生活污水</w:t>
            </w:r>
          </w:p>
        </w:tc>
        <w:tc>
          <w:tcPr>
            <w:tcW w:w="569" w:type="pct"/>
            <w:noWrap w:val="0"/>
            <w:tcMar>
              <w:top w:w="0" w:type="dxa"/>
              <w:left w:w="57" w:type="dxa"/>
              <w:bottom w:w="0" w:type="dxa"/>
              <w:right w:w="57" w:type="dxa"/>
            </w:tcMar>
            <w:vAlign w:val="center"/>
          </w:tcPr>
          <w:p w14:paraId="3A886F9A">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kern w:val="0"/>
                <w:sz w:val="21"/>
                <w:szCs w:val="21"/>
              </w:rPr>
              <w:t>1</w:t>
            </w:r>
          </w:p>
        </w:tc>
      </w:tr>
      <w:tr w14:paraId="5BED6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3D9766D9">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p>
        </w:tc>
        <w:tc>
          <w:tcPr>
            <w:tcW w:w="3782" w:type="pct"/>
            <w:noWrap w:val="0"/>
            <w:tcMar>
              <w:top w:w="0" w:type="dxa"/>
              <w:left w:w="57" w:type="dxa"/>
              <w:bottom w:w="0" w:type="dxa"/>
              <w:right w:w="57" w:type="dxa"/>
            </w:tcMar>
            <w:vAlign w:val="center"/>
          </w:tcPr>
          <w:p w14:paraId="69FF36D4">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服务业废水、畜禽散养养殖废水</w:t>
            </w:r>
          </w:p>
        </w:tc>
        <w:tc>
          <w:tcPr>
            <w:tcW w:w="569" w:type="pct"/>
            <w:noWrap w:val="0"/>
            <w:tcMar>
              <w:top w:w="0" w:type="dxa"/>
              <w:left w:w="57" w:type="dxa"/>
              <w:bottom w:w="0" w:type="dxa"/>
              <w:right w:w="57" w:type="dxa"/>
            </w:tcMar>
            <w:vAlign w:val="center"/>
          </w:tcPr>
          <w:p w14:paraId="23FA3A0B">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kern w:val="0"/>
                <w:sz w:val="21"/>
                <w:szCs w:val="21"/>
              </w:rPr>
              <w:t>2</w:t>
            </w:r>
          </w:p>
        </w:tc>
      </w:tr>
      <w:tr w14:paraId="5FA97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10A28A47">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p>
        </w:tc>
        <w:tc>
          <w:tcPr>
            <w:tcW w:w="3782" w:type="pct"/>
            <w:noWrap w:val="0"/>
            <w:tcMar>
              <w:top w:w="0" w:type="dxa"/>
              <w:left w:w="57" w:type="dxa"/>
              <w:bottom w:w="0" w:type="dxa"/>
              <w:right w:w="57" w:type="dxa"/>
            </w:tcMar>
            <w:vAlign w:val="center"/>
          </w:tcPr>
          <w:p w14:paraId="10B2A08F">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一般工业废水、规模化以上养殖企业养殖废水</w:t>
            </w:r>
          </w:p>
        </w:tc>
        <w:tc>
          <w:tcPr>
            <w:tcW w:w="569" w:type="pct"/>
            <w:noWrap w:val="0"/>
            <w:tcMar>
              <w:top w:w="0" w:type="dxa"/>
              <w:left w:w="57" w:type="dxa"/>
              <w:bottom w:w="0" w:type="dxa"/>
              <w:right w:w="57" w:type="dxa"/>
            </w:tcMar>
            <w:vAlign w:val="center"/>
          </w:tcPr>
          <w:p w14:paraId="08A8A19E">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kern w:val="0"/>
                <w:sz w:val="21"/>
                <w:szCs w:val="21"/>
              </w:rPr>
              <w:t>3</w:t>
            </w:r>
          </w:p>
        </w:tc>
      </w:tr>
      <w:tr w14:paraId="3E6C4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79D2312A">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p>
        </w:tc>
        <w:tc>
          <w:tcPr>
            <w:tcW w:w="3782" w:type="pct"/>
            <w:noWrap w:val="0"/>
            <w:tcMar>
              <w:top w:w="0" w:type="dxa"/>
              <w:left w:w="57" w:type="dxa"/>
              <w:bottom w:w="0" w:type="dxa"/>
              <w:right w:w="57" w:type="dxa"/>
            </w:tcMar>
            <w:vAlign w:val="center"/>
          </w:tcPr>
          <w:p w14:paraId="3B64D7AD">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含其他有毒有害污染物的废水、医疗废水</w:t>
            </w:r>
          </w:p>
        </w:tc>
        <w:tc>
          <w:tcPr>
            <w:tcW w:w="569" w:type="pct"/>
            <w:noWrap w:val="0"/>
            <w:tcMar>
              <w:top w:w="0" w:type="dxa"/>
              <w:left w:w="57" w:type="dxa"/>
              <w:bottom w:w="0" w:type="dxa"/>
              <w:right w:w="57" w:type="dxa"/>
            </w:tcMar>
            <w:vAlign w:val="center"/>
          </w:tcPr>
          <w:p w14:paraId="39A21DA5">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spacing w:val="1"/>
                <w:kern w:val="0"/>
                <w:sz w:val="21"/>
                <w:szCs w:val="21"/>
              </w:rPr>
              <w:t>4</w:t>
            </w:r>
          </w:p>
        </w:tc>
      </w:tr>
      <w:tr w14:paraId="6BA06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64A0A6B3">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p>
        </w:tc>
        <w:tc>
          <w:tcPr>
            <w:tcW w:w="3782" w:type="pct"/>
            <w:noWrap w:val="0"/>
            <w:tcMar>
              <w:top w:w="0" w:type="dxa"/>
              <w:left w:w="57" w:type="dxa"/>
              <w:bottom w:w="0" w:type="dxa"/>
              <w:right w:w="57" w:type="dxa"/>
            </w:tcMar>
            <w:vAlign w:val="center"/>
          </w:tcPr>
          <w:p w14:paraId="32246047">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含第一类污染物或重金属、病原体、放射性物</w:t>
            </w:r>
            <w:r>
              <w:rPr>
                <w:rFonts w:ascii="宋体" w:hAnsi="宋体" w:eastAsia="宋体"/>
                <w:spacing w:val="7"/>
                <w:kern w:val="0"/>
                <w:sz w:val="21"/>
                <w:szCs w:val="21"/>
              </w:rPr>
              <w:t>质的废水</w:t>
            </w:r>
          </w:p>
        </w:tc>
        <w:tc>
          <w:tcPr>
            <w:tcW w:w="569" w:type="pct"/>
            <w:noWrap w:val="0"/>
            <w:tcMar>
              <w:top w:w="0" w:type="dxa"/>
              <w:left w:w="57" w:type="dxa"/>
              <w:bottom w:w="0" w:type="dxa"/>
              <w:right w:w="57" w:type="dxa"/>
            </w:tcMar>
            <w:vAlign w:val="center"/>
          </w:tcPr>
          <w:p w14:paraId="2B43BE86">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kern w:val="0"/>
                <w:sz w:val="21"/>
                <w:szCs w:val="21"/>
              </w:rPr>
              <w:t>5</w:t>
            </w:r>
          </w:p>
        </w:tc>
      </w:tr>
      <w:tr w14:paraId="5BA93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restart"/>
            <w:noWrap w:val="0"/>
            <w:tcMar>
              <w:top w:w="0" w:type="dxa"/>
              <w:left w:w="57" w:type="dxa"/>
              <w:bottom w:w="0" w:type="dxa"/>
              <w:right w:w="57" w:type="dxa"/>
            </w:tcMar>
            <w:vAlign w:val="center"/>
          </w:tcPr>
          <w:p w14:paraId="6A391EEB">
            <w:pPr>
              <w:spacing w:before="20" w:after="20" w:line="300" w:lineRule="auto"/>
              <w:jc w:val="center"/>
              <w:rPr>
                <w:rFonts w:hint="eastAsia"/>
                <w:b/>
              </w:rPr>
            </w:pPr>
            <w:r>
              <w:rPr>
                <w:b/>
              </w:rPr>
              <w:t>废气类别</w:t>
            </w:r>
          </w:p>
        </w:tc>
        <w:tc>
          <w:tcPr>
            <w:tcW w:w="3782" w:type="pct"/>
            <w:noWrap w:val="0"/>
            <w:tcMar>
              <w:top w:w="0" w:type="dxa"/>
              <w:left w:w="57" w:type="dxa"/>
              <w:bottom w:w="0" w:type="dxa"/>
              <w:right w:w="57" w:type="dxa"/>
            </w:tcMar>
            <w:vAlign w:val="center"/>
          </w:tcPr>
          <w:p w14:paraId="0B61B247">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餐饮油烟（经营）</w:t>
            </w:r>
          </w:p>
        </w:tc>
        <w:tc>
          <w:tcPr>
            <w:tcW w:w="569" w:type="pct"/>
            <w:noWrap w:val="0"/>
            <w:tcMar>
              <w:top w:w="0" w:type="dxa"/>
              <w:left w:w="57" w:type="dxa"/>
              <w:bottom w:w="0" w:type="dxa"/>
              <w:right w:w="57" w:type="dxa"/>
            </w:tcMar>
            <w:vAlign w:val="center"/>
          </w:tcPr>
          <w:p w14:paraId="1E62DB35">
            <w:pPr>
              <w:topLinePunct/>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kern w:val="0"/>
                <w:sz w:val="21"/>
                <w:szCs w:val="21"/>
              </w:rPr>
              <w:t>1</w:t>
            </w:r>
          </w:p>
        </w:tc>
      </w:tr>
      <w:tr w14:paraId="32915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304A2351">
            <w:pPr>
              <w:topLinePunct/>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p>
        </w:tc>
        <w:tc>
          <w:tcPr>
            <w:tcW w:w="3782" w:type="pct"/>
            <w:noWrap w:val="0"/>
            <w:tcMar>
              <w:top w:w="0" w:type="dxa"/>
              <w:left w:w="57" w:type="dxa"/>
              <w:bottom w:w="0" w:type="dxa"/>
              <w:right w:w="57" w:type="dxa"/>
            </w:tcMar>
            <w:vAlign w:val="center"/>
          </w:tcPr>
          <w:p w14:paraId="7B0B7B00">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农业生产废气/畜禽养殖废气/工地扬尘/机械、汽车修理废气</w:t>
            </w:r>
          </w:p>
        </w:tc>
        <w:tc>
          <w:tcPr>
            <w:tcW w:w="569" w:type="pct"/>
            <w:noWrap w:val="0"/>
            <w:tcMar>
              <w:top w:w="0" w:type="dxa"/>
              <w:left w:w="57" w:type="dxa"/>
              <w:bottom w:w="0" w:type="dxa"/>
              <w:right w:w="57" w:type="dxa"/>
            </w:tcMar>
            <w:vAlign w:val="center"/>
          </w:tcPr>
          <w:p w14:paraId="2CCDD988">
            <w:pPr>
              <w:topLinePunct/>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kern w:val="0"/>
                <w:sz w:val="21"/>
                <w:szCs w:val="21"/>
              </w:rPr>
              <w:t>2</w:t>
            </w:r>
          </w:p>
        </w:tc>
      </w:tr>
      <w:tr w14:paraId="7B0B8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592730B7">
            <w:pPr>
              <w:topLinePunct/>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p>
        </w:tc>
        <w:tc>
          <w:tcPr>
            <w:tcW w:w="3782" w:type="pct"/>
            <w:noWrap w:val="0"/>
            <w:tcMar>
              <w:top w:w="0" w:type="dxa"/>
              <w:left w:w="57" w:type="dxa"/>
              <w:bottom w:w="0" w:type="dxa"/>
              <w:right w:w="57" w:type="dxa"/>
            </w:tcMar>
            <w:vAlign w:val="center"/>
          </w:tcPr>
          <w:p w14:paraId="381AAC94">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一般工业废气/含恶臭污染物的废气（除畜禽养殖废气）/医疗废气/实验室废气</w:t>
            </w:r>
          </w:p>
        </w:tc>
        <w:tc>
          <w:tcPr>
            <w:tcW w:w="569" w:type="pct"/>
            <w:noWrap w:val="0"/>
            <w:tcMar>
              <w:top w:w="0" w:type="dxa"/>
              <w:left w:w="57" w:type="dxa"/>
              <w:bottom w:w="0" w:type="dxa"/>
              <w:right w:w="57" w:type="dxa"/>
            </w:tcMar>
            <w:vAlign w:val="center"/>
          </w:tcPr>
          <w:p w14:paraId="120090E6">
            <w:pPr>
              <w:topLinePunct/>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kern w:val="0"/>
                <w:sz w:val="21"/>
                <w:szCs w:val="21"/>
              </w:rPr>
              <w:t>3</w:t>
            </w:r>
          </w:p>
        </w:tc>
      </w:tr>
      <w:tr w14:paraId="7392C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1952CADD">
            <w:pPr>
              <w:topLinePunct/>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p>
        </w:tc>
        <w:tc>
          <w:tcPr>
            <w:tcW w:w="3782" w:type="pct"/>
            <w:noWrap w:val="0"/>
            <w:tcMar>
              <w:top w:w="0" w:type="dxa"/>
              <w:left w:w="57" w:type="dxa"/>
              <w:bottom w:w="0" w:type="dxa"/>
              <w:right w:w="57" w:type="dxa"/>
            </w:tcMar>
            <w:vAlign w:val="center"/>
          </w:tcPr>
          <w:p w14:paraId="0C33E912">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火电、钢铁、石化、水泥、炼焦、有色、化工废气、烟尘/燃煤锅炉废气、烟尘</w:t>
            </w:r>
          </w:p>
        </w:tc>
        <w:tc>
          <w:tcPr>
            <w:tcW w:w="569" w:type="pct"/>
            <w:noWrap w:val="0"/>
            <w:tcMar>
              <w:top w:w="0" w:type="dxa"/>
              <w:left w:w="57" w:type="dxa"/>
              <w:bottom w:w="0" w:type="dxa"/>
              <w:right w:w="57" w:type="dxa"/>
            </w:tcMar>
            <w:vAlign w:val="center"/>
          </w:tcPr>
          <w:p w14:paraId="76808FB6">
            <w:pPr>
              <w:topLinePunct/>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spacing w:val="1"/>
                <w:kern w:val="0"/>
                <w:sz w:val="21"/>
                <w:szCs w:val="21"/>
              </w:rPr>
              <w:t>4</w:t>
            </w:r>
          </w:p>
        </w:tc>
      </w:tr>
      <w:tr w14:paraId="5E182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73346A8A">
            <w:pPr>
              <w:topLinePunct/>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p>
        </w:tc>
        <w:tc>
          <w:tcPr>
            <w:tcW w:w="3782" w:type="pct"/>
            <w:noWrap w:val="0"/>
            <w:tcMar>
              <w:top w:w="0" w:type="dxa"/>
              <w:left w:w="57" w:type="dxa"/>
              <w:bottom w:w="0" w:type="dxa"/>
              <w:right w:w="57" w:type="dxa"/>
            </w:tcMar>
            <w:vAlign w:val="center"/>
          </w:tcPr>
          <w:p w14:paraId="5273BC15">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含其他有毒有害物质的废气</w:t>
            </w:r>
          </w:p>
        </w:tc>
        <w:tc>
          <w:tcPr>
            <w:tcW w:w="569" w:type="pct"/>
            <w:noWrap w:val="0"/>
            <w:tcMar>
              <w:top w:w="0" w:type="dxa"/>
              <w:left w:w="57" w:type="dxa"/>
              <w:bottom w:w="0" w:type="dxa"/>
              <w:right w:w="57" w:type="dxa"/>
            </w:tcMar>
            <w:vAlign w:val="center"/>
          </w:tcPr>
          <w:p w14:paraId="20133223">
            <w:pPr>
              <w:topLinePunct/>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kern w:val="0"/>
                <w:sz w:val="21"/>
                <w:szCs w:val="21"/>
              </w:rPr>
              <w:t>5</w:t>
            </w:r>
          </w:p>
        </w:tc>
      </w:tr>
      <w:tr w14:paraId="39CE2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restart"/>
            <w:noWrap w:val="0"/>
            <w:tcMar>
              <w:top w:w="0" w:type="dxa"/>
              <w:left w:w="57" w:type="dxa"/>
              <w:bottom w:w="0" w:type="dxa"/>
              <w:right w:w="57" w:type="dxa"/>
            </w:tcMar>
            <w:vAlign w:val="center"/>
          </w:tcPr>
          <w:p w14:paraId="7D747407">
            <w:pPr>
              <w:spacing w:before="20" w:after="20" w:line="300" w:lineRule="auto"/>
              <w:jc w:val="center"/>
              <w:rPr>
                <w:rFonts w:hint="eastAsia"/>
                <w:b/>
              </w:rPr>
            </w:pPr>
            <w:r>
              <w:rPr>
                <w:b/>
              </w:rPr>
              <w:t>声环境功能区类别</w:t>
            </w:r>
          </w:p>
        </w:tc>
        <w:tc>
          <w:tcPr>
            <w:tcW w:w="3782" w:type="pct"/>
            <w:noWrap w:val="0"/>
            <w:tcMar>
              <w:top w:w="0" w:type="dxa"/>
              <w:left w:w="57" w:type="dxa"/>
              <w:bottom w:w="0" w:type="dxa"/>
              <w:right w:w="57" w:type="dxa"/>
            </w:tcMar>
            <w:vAlign w:val="center"/>
          </w:tcPr>
          <w:p w14:paraId="51E15B02">
            <w:pPr>
              <w:autoSpaceDE w:val="0"/>
              <w:autoSpaceDN w:val="0"/>
              <w:adjustRightInd w:val="0"/>
              <w:snapToGrid w:val="0"/>
              <w:spacing w:before="20" w:after="20" w:line="300" w:lineRule="auto"/>
              <w:textAlignment w:val="baseline"/>
              <w:rPr>
                <w:rFonts w:hint="eastAsia" w:ascii="宋体" w:hAnsi="宋体" w:eastAsia="宋体"/>
                <w:kern w:val="0"/>
                <w:sz w:val="21"/>
                <w:szCs w:val="21"/>
              </w:rPr>
            </w:pPr>
            <w:r>
              <w:rPr>
                <w:rFonts w:ascii="宋体" w:hAnsi="宋体" w:eastAsia="宋体"/>
                <w:kern w:val="0"/>
                <w:sz w:val="21"/>
                <w:szCs w:val="21"/>
              </w:rPr>
              <w:t>4类声环境功能区</w:t>
            </w:r>
          </w:p>
        </w:tc>
        <w:tc>
          <w:tcPr>
            <w:tcW w:w="569" w:type="pct"/>
            <w:noWrap w:val="0"/>
            <w:tcMar>
              <w:top w:w="0" w:type="dxa"/>
              <w:left w:w="57" w:type="dxa"/>
              <w:bottom w:w="0" w:type="dxa"/>
              <w:right w:w="57" w:type="dxa"/>
            </w:tcMar>
            <w:vAlign w:val="center"/>
          </w:tcPr>
          <w:p w14:paraId="417AA3FF">
            <w:pPr>
              <w:topLinePunct/>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kern w:val="0"/>
                <w:sz w:val="21"/>
                <w:szCs w:val="21"/>
              </w:rPr>
              <w:t>1</w:t>
            </w:r>
          </w:p>
        </w:tc>
      </w:tr>
      <w:tr w14:paraId="2C080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7199FB9D">
            <w:pPr>
              <w:topLinePunct/>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p>
        </w:tc>
        <w:tc>
          <w:tcPr>
            <w:tcW w:w="3782" w:type="pct"/>
            <w:noWrap w:val="0"/>
            <w:tcMar>
              <w:top w:w="0" w:type="dxa"/>
              <w:left w:w="57" w:type="dxa"/>
              <w:bottom w:w="0" w:type="dxa"/>
              <w:right w:w="57" w:type="dxa"/>
            </w:tcMar>
            <w:vAlign w:val="center"/>
          </w:tcPr>
          <w:p w14:paraId="64826898">
            <w:pPr>
              <w:autoSpaceDE w:val="0"/>
              <w:autoSpaceDN w:val="0"/>
              <w:adjustRightInd w:val="0"/>
              <w:snapToGrid w:val="0"/>
              <w:spacing w:before="20" w:after="20" w:line="300" w:lineRule="auto"/>
              <w:textAlignment w:val="baseline"/>
              <w:rPr>
                <w:rFonts w:hint="eastAsia" w:ascii="宋体" w:hAnsi="宋体" w:eastAsia="宋体"/>
                <w:kern w:val="0"/>
                <w:sz w:val="21"/>
                <w:szCs w:val="21"/>
              </w:rPr>
            </w:pPr>
            <w:r>
              <w:rPr>
                <w:rFonts w:ascii="宋体" w:hAnsi="宋体" w:eastAsia="宋体"/>
                <w:kern w:val="0"/>
                <w:sz w:val="21"/>
                <w:szCs w:val="21"/>
              </w:rPr>
              <w:t>3类声环境功能区</w:t>
            </w:r>
          </w:p>
        </w:tc>
        <w:tc>
          <w:tcPr>
            <w:tcW w:w="569" w:type="pct"/>
            <w:noWrap w:val="0"/>
            <w:tcMar>
              <w:top w:w="0" w:type="dxa"/>
              <w:left w:w="57" w:type="dxa"/>
              <w:bottom w:w="0" w:type="dxa"/>
              <w:right w:w="57" w:type="dxa"/>
            </w:tcMar>
            <w:vAlign w:val="center"/>
          </w:tcPr>
          <w:p w14:paraId="25773A76">
            <w:pPr>
              <w:topLinePunct/>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kern w:val="0"/>
                <w:sz w:val="21"/>
                <w:szCs w:val="21"/>
              </w:rPr>
              <w:t>2</w:t>
            </w:r>
          </w:p>
        </w:tc>
      </w:tr>
      <w:tr w14:paraId="1BBB7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60E1F7DD">
            <w:pPr>
              <w:topLinePunct/>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p>
        </w:tc>
        <w:tc>
          <w:tcPr>
            <w:tcW w:w="3782" w:type="pct"/>
            <w:noWrap w:val="0"/>
            <w:tcMar>
              <w:top w:w="0" w:type="dxa"/>
              <w:left w:w="57" w:type="dxa"/>
              <w:bottom w:w="0" w:type="dxa"/>
              <w:right w:w="57" w:type="dxa"/>
            </w:tcMar>
            <w:vAlign w:val="center"/>
          </w:tcPr>
          <w:p w14:paraId="519C5170">
            <w:pPr>
              <w:autoSpaceDE w:val="0"/>
              <w:autoSpaceDN w:val="0"/>
              <w:adjustRightInd w:val="0"/>
              <w:snapToGrid w:val="0"/>
              <w:spacing w:before="20" w:after="20" w:line="300" w:lineRule="auto"/>
              <w:textAlignment w:val="baseline"/>
              <w:rPr>
                <w:rFonts w:hint="eastAsia" w:ascii="宋体" w:hAnsi="宋体" w:eastAsia="宋体"/>
                <w:kern w:val="0"/>
                <w:sz w:val="21"/>
                <w:szCs w:val="21"/>
              </w:rPr>
            </w:pPr>
            <w:r>
              <w:rPr>
                <w:rFonts w:ascii="宋体" w:hAnsi="宋体" w:eastAsia="宋体"/>
                <w:kern w:val="0"/>
                <w:sz w:val="21"/>
                <w:szCs w:val="21"/>
              </w:rPr>
              <w:t>2类声环境功能区</w:t>
            </w:r>
          </w:p>
        </w:tc>
        <w:tc>
          <w:tcPr>
            <w:tcW w:w="569" w:type="pct"/>
            <w:noWrap w:val="0"/>
            <w:tcMar>
              <w:top w:w="0" w:type="dxa"/>
              <w:left w:w="57" w:type="dxa"/>
              <w:bottom w:w="0" w:type="dxa"/>
              <w:right w:w="57" w:type="dxa"/>
            </w:tcMar>
            <w:vAlign w:val="center"/>
          </w:tcPr>
          <w:p w14:paraId="7D49049B">
            <w:pPr>
              <w:topLinePunct/>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kern w:val="0"/>
                <w:sz w:val="21"/>
                <w:szCs w:val="21"/>
              </w:rPr>
              <w:t>3</w:t>
            </w:r>
          </w:p>
        </w:tc>
      </w:tr>
      <w:tr w14:paraId="137C2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2AC7D649">
            <w:pPr>
              <w:topLinePunct/>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p>
        </w:tc>
        <w:tc>
          <w:tcPr>
            <w:tcW w:w="3782" w:type="pct"/>
            <w:noWrap w:val="0"/>
            <w:tcMar>
              <w:top w:w="0" w:type="dxa"/>
              <w:left w:w="57" w:type="dxa"/>
              <w:bottom w:w="0" w:type="dxa"/>
              <w:right w:w="57" w:type="dxa"/>
            </w:tcMar>
            <w:vAlign w:val="center"/>
          </w:tcPr>
          <w:p w14:paraId="77F4076B">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1类声环境功能区</w:t>
            </w:r>
          </w:p>
        </w:tc>
        <w:tc>
          <w:tcPr>
            <w:tcW w:w="569" w:type="pct"/>
            <w:noWrap w:val="0"/>
            <w:tcMar>
              <w:top w:w="0" w:type="dxa"/>
              <w:left w:w="57" w:type="dxa"/>
              <w:bottom w:w="0" w:type="dxa"/>
              <w:right w:w="57" w:type="dxa"/>
            </w:tcMar>
            <w:vAlign w:val="center"/>
          </w:tcPr>
          <w:p w14:paraId="15ECE1F4">
            <w:pPr>
              <w:topLinePunct/>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spacing w:val="1"/>
                <w:kern w:val="0"/>
                <w:sz w:val="21"/>
                <w:szCs w:val="21"/>
              </w:rPr>
              <w:t>4</w:t>
            </w:r>
          </w:p>
        </w:tc>
      </w:tr>
      <w:tr w14:paraId="3CB54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262A69F8">
            <w:pPr>
              <w:topLinePunct/>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p>
        </w:tc>
        <w:tc>
          <w:tcPr>
            <w:tcW w:w="3782" w:type="pct"/>
            <w:noWrap w:val="0"/>
            <w:tcMar>
              <w:top w:w="0" w:type="dxa"/>
              <w:left w:w="57" w:type="dxa"/>
              <w:bottom w:w="0" w:type="dxa"/>
              <w:right w:w="57" w:type="dxa"/>
            </w:tcMar>
            <w:vAlign w:val="center"/>
          </w:tcPr>
          <w:p w14:paraId="3DA34F5C">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0类声环境功能区</w:t>
            </w:r>
          </w:p>
        </w:tc>
        <w:tc>
          <w:tcPr>
            <w:tcW w:w="569" w:type="pct"/>
            <w:noWrap w:val="0"/>
            <w:tcMar>
              <w:top w:w="0" w:type="dxa"/>
              <w:left w:w="57" w:type="dxa"/>
              <w:bottom w:w="0" w:type="dxa"/>
              <w:right w:w="57" w:type="dxa"/>
            </w:tcMar>
            <w:vAlign w:val="center"/>
          </w:tcPr>
          <w:p w14:paraId="1B5F32DB">
            <w:pPr>
              <w:topLinePunct/>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kern w:val="0"/>
                <w:sz w:val="21"/>
                <w:szCs w:val="21"/>
              </w:rPr>
              <w:t>5</w:t>
            </w:r>
          </w:p>
        </w:tc>
      </w:tr>
      <w:tr w14:paraId="2530C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restart"/>
            <w:noWrap w:val="0"/>
            <w:tcMar>
              <w:top w:w="0" w:type="dxa"/>
              <w:left w:w="57" w:type="dxa"/>
              <w:bottom w:w="0" w:type="dxa"/>
              <w:right w:w="57" w:type="dxa"/>
            </w:tcMar>
            <w:vAlign w:val="center"/>
          </w:tcPr>
          <w:p w14:paraId="22FEF289">
            <w:pPr>
              <w:spacing w:before="20" w:after="20" w:line="300" w:lineRule="auto"/>
              <w:jc w:val="center"/>
              <w:rPr>
                <w:rFonts w:hint="eastAsia"/>
                <w:b/>
              </w:rPr>
            </w:pPr>
            <w:r>
              <w:rPr>
                <w:b/>
              </w:rPr>
              <w:t>固体废物</w:t>
            </w:r>
          </w:p>
          <w:p w14:paraId="2056DD6E">
            <w:pPr>
              <w:spacing w:before="20" w:after="20" w:line="300" w:lineRule="auto"/>
              <w:jc w:val="center"/>
              <w:rPr>
                <w:rFonts w:hint="eastAsia"/>
                <w:b/>
              </w:rPr>
            </w:pPr>
            <w:r>
              <w:rPr>
                <w:b/>
              </w:rPr>
              <w:t>类别</w:t>
            </w:r>
          </w:p>
        </w:tc>
        <w:tc>
          <w:tcPr>
            <w:tcW w:w="3782" w:type="pct"/>
            <w:noWrap w:val="0"/>
            <w:tcMar>
              <w:top w:w="0" w:type="dxa"/>
              <w:left w:w="57" w:type="dxa"/>
              <w:bottom w:w="0" w:type="dxa"/>
              <w:right w:w="57" w:type="dxa"/>
            </w:tcMar>
            <w:vAlign w:val="center"/>
          </w:tcPr>
          <w:p w14:paraId="102CDD66">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第I类一般工业固体废物</w:t>
            </w:r>
          </w:p>
        </w:tc>
        <w:tc>
          <w:tcPr>
            <w:tcW w:w="569" w:type="pct"/>
            <w:noWrap w:val="0"/>
            <w:tcMar>
              <w:top w:w="0" w:type="dxa"/>
              <w:left w:w="57" w:type="dxa"/>
              <w:bottom w:w="0" w:type="dxa"/>
              <w:right w:w="57" w:type="dxa"/>
            </w:tcMar>
            <w:vAlign w:val="center"/>
          </w:tcPr>
          <w:p w14:paraId="449E9B45">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kern w:val="0"/>
                <w:sz w:val="21"/>
                <w:szCs w:val="21"/>
              </w:rPr>
              <w:t>1</w:t>
            </w:r>
          </w:p>
        </w:tc>
      </w:tr>
      <w:tr w14:paraId="117D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1924DD8C">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p>
        </w:tc>
        <w:tc>
          <w:tcPr>
            <w:tcW w:w="3782" w:type="pct"/>
            <w:noWrap w:val="0"/>
            <w:tcMar>
              <w:top w:w="0" w:type="dxa"/>
              <w:left w:w="57" w:type="dxa"/>
              <w:bottom w:w="0" w:type="dxa"/>
              <w:right w:w="57" w:type="dxa"/>
            </w:tcMar>
            <w:vAlign w:val="center"/>
          </w:tcPr>
          <w:p w14:paraId="5EE45669">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第Ⅱ类一般工业固体废物</w:t>
            </w:r>
          </w:p>
        </w:tc>
        <w:tc>
          <w:tcPr>
            <w:tcW w:w="569" w:type="pct"/>
            <w:noWrap w:val="0"/>
            <w:tcMar>
              <w:top w:w="0" w:type="dxa"/>
              <w:left w:w="57" w:type="dxa"/>
              <w:bottom w:w="0" w:type="dxa"/>
              <w:right w:w="57" w:type="dxa"/>
            </w:tcMar>
            <w:vAlign w:val="center"/>
          </w:tcPr>
          <w:p w14:paraId="29990387">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kern w:val="0"/>
                <w:sz w:val="21"/>
                <w:szCs w:val="21"/>
              </w:rPr>
              <w:t>3</w:t>
            </w:r>
          </w:p>
        </w:tc>
      </w:tr>
      <w:tr w14:paraId="6E36B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26EEAEE4">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p>
        </w:tc>
        <w:tc>
          <w:tcPr>
            <w:tcW w:w="3782" w:type="pct"/>
            <w:noWrap w:val="0"/>
            <w:tcMar>
              <w:top w:w="0" w:type="dxa"/>
              <w:left w:w="57" w:type="dxa"/>
              <w:bottom w:w="0" w:type="dxa"/>
              <w:right w:w="57" w:type="dxa"/>
            </w:tcMar>
            <w:vAlign w:val="center"/>
          </w:tcPr>
          <w:p w14:paraId="47DCDA7E">
            <w:pPr>
              <w:autoSpaceDE w:val="0"/>
              <w:autoSpaceDN w:val="0"/>
              <w:adjustRightInd w:val="0"/>
              <w:snapToGrid w:val="0"/>
              <w:spacing w:before="20" w:after="20" w:line="300" w:lineRule="auto"/>
              <w:jc w:val="both"/>
              <w:textAlignment w:val="baseline"/>
              <w:rPr>
                <w:rFonts w:hint="eastAsia" w:ascii="宋体" w:hAnsi="宋体" w:eastAsia="宋体"/>
                <w:kern w:val="0"/>
                <w:sz w:val="21"/>
                <w:szCs w:val="21"/>
              </w:rPr>
            </w:pPr>
            <w:r>
              <w:rPr>
                <w:rFonts w:ascii="宋体" w:hAnsi="宋体" w:eastAsia="宋体"/>
                <w:kern w:val="0"/>
                <w:sz w:val="21"/>
                <w:szCs w:val="21"/>
              </w:rPr>
              <w:t>危险废物、城镇污水处理设施产生的污泥和处理后的污泥</w:t>
            </w:r>
          </w:p>
        </w:tc>
        <w:tc>
          <w:tcPr>
            <w:tcW w:w="569" w:type="pct"/>
            <w:noWrap w:val="0"/>
            <w:tcMar>
              <w:top w:w="0" w:type="dxa"/>
              <w:left w:w="57" w:type="dxa"/>
              <w:bottom w:w="0" w:type="dxa"/>
              <w:right w:w="57" w:type="dxa"/>
            </w:tcMar>
            <w:vAlign w:val="center"/>
          </w:tcPr>
          <w:p w14:paraId="185D37BF">
            <w:pPr>
              <w:autoSpaceDE w:val="0"/>
              <w:autoSpaceDN w:val="0"/>
              <w:adjustRightInd w:val="0"/>
              <w:snapToGrid w:val="0"/>
              <w:spacing w:before="20" w:after="20" w:line="300" w:lineRule="auto"/>
              <w:jc w:val="center"/>
              <w:textAlignment w:val="baseline"/>
              <w:rPr>
                <w:rFonts w:hint="eastAsia" w:ascii="宋体" w:hAnsi="宋体" w:eastAsia="宋体"/>
                <w:kern w:val="0"/>
                <w:sz w:val="21"/>
                <w:szCs w:val="21"/>
              </w:rPr>
            </w:pPr>
            <w:r>
              <w:rPr>
                <w:rFonts w:ascii="宋体" w:hAnsi="宋体" w:eastAsia="宋体"/>
                <w:kern w:val="0"/>
                <w:sz w:val="21"/>
                <w:szCs w:val="21"/>
              </w:rPr>
              <w:t>5</w:t>
            </w:r>
          </w:p>
        </w:tc>
      </w:tr>
    </w:tbl>
    <w:p w14:paraId="4ECDFB87">
      <w:pPr>
        <w:spacing w:before="40" w:after="40" w:line="400" w:lineRule="auto"/>
        <w:jc w:val="both"/>
        <w:rPr>
          <w:rFonts w:ascii="Times New Roman" w:hAnsi="Times New Roman" w:eastAsia="黑体"/>
          <w:b/>
          <w:sz w:val="24"/>
        </w:rPr>
      </w:pPr>
      <w:r>
        <w:rPr>
          <w:rFonts w:hint="eastAsia" w:ascii="Times New Roman" w:hAnsi="Times New Roman" w:eastAsia="黑体"/>
          <w:b/>
          <w:sz w:val="24"/>
        </w:rPr>
        <w:t>5.</w:t>
      </w:r>
      <w:r>
        <w:rPr>
          <w:rFonts w:ascii="Times New Roman" w:hAnsi="Times New Roman" w:eastAsia="黑体"/>
          <w:b/>
          <w:sz w:val="24"/>
        </w:rPr>
        <w:t>违反规定设置排污口的行为</w:t>
      </w:r>
    </w:p>
    <w:tbl>
      <w:tblPr>
        <w:tblStyle w:val="8"/>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52"/>
        <w:gridCol w:w="6782"/>
        <w:gridCol w:w="1133"/>
      </w:tblGrid>
      <w:tr w14:paraId="42A66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26" w:hRule="atLeast"/>
          <w:jc w:val="center"/>
        </w:trPr>
        <w:tc>
          <w:tcPr>
            <w:tcW w:w="635" w:type="pct"/>
            <w:noWrap w:val="0"/>
            <w:vAlign w:val="center"/>
          </w:tcPr>
          <w:p w14:paraId="4FF26B8E">
            <w:pPr>
              <w:spacing w:before="20" w:after="20" w:line="300" w:lineRule="auto"/>
              <w:jc w:val="center"/>
              <w:rPr>
                <w:rFonts w:hint="eastAsia"/>
                <w:b/>
              </w:rPr>
            </w:pPr>
            <w:r>
              <w:rPr>
                <w:b/>
              </w:rPr>
              <w:t>违反条款</w:t>
            </w:r>
          </w:p>
        </w:tc>
        <w:tc>
          <w:tcPr>
            <w:tcW w:w="4365" w:type="pct"/>
            <w:gridSpan w:val="2"/>
            <w:noWrap w:val="0"/>
            <w:tcMar>
              <w:top w:w="0" w:type="dxa"/>
              <w:left w:w="57" w:type="dxa"/>
              <w:bottom w:w="0" w:type="dxa"/>
              <w:right w:w="57" w:type="dxa"/>
            </w:tcMar>
            <w:vAlign w:val="center"/>
          </w:tcPr>
          <w:p w14:paraId="53DB8CF0">
            <w:pPr>
              <w:spacing w:before="20" w:after="20" w:line="300" w:lineRule="auto"/>
              <w:rPr>
                <w:rFonts w:hint="eastAsia" w:ascii="宋体" w:hAnsi="宋体" w:eastAsia="宋体"/>
                <w:sz w:val="21"/>
                <w:szCs w:val="21"/>
              </w:rPr>
            </w:pPr>
            <w:r>
              <w:rPr>
                <w:rFonts w:ascii="宋体" w:hAnsi="宋体" w:eastAsia="宋体"/>
                <w:sz w:val="21"/>
                <w:szCs w:val="21"/>
              </w:rPr>
              <w:t>1.《中华人民共和国生态环境法典》第一百六十三条 企业事业单位和其他生产经营者排放污染物的，应当依照法律法规和国务院生态环境主管部门的规定设置、使用污染物排放口（以下简称排污口）。</w:t>
            </w:r>
          </w:p>
          <w:p w14:paraId="2E2E8F71">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第二百七十五条　新设、改设、扩大入河排污口，应当按照规定报经有管辖权的生态环境主管部门或者国务院生态环境主管部门流域生态环境监督管理机构同意。新设、改设、扩大可能影响防洪、供水、堤防安全、河势稳定的入河排污口的，审批时应当征求地方人民政府水行政主管部门或者有关流域管理机构的意见。入河排污口设置和管理的具体办法由国务院生态环境主管部门制定。</w:t>
            </w:r>
          </w:p>
          <w:p w14:paraId="43A59C8B">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本法所称入河排污口，是指直接或者通过管道、沟、渠等排污通道向江河湖泊、运河、水库等水体排放污水的口门。</w:t>
            </w:r>
          </w:p>
          <w:p w14:paraId="7787BFB8">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2.</w:t>
            </w:r>
            <w:r>
              <w:rPr>
                <w:rFonts w:hint="eastAsia" w:cs="Times New Roman"/>
                <w:sz w:val="21"/>
                <w:szCs w:val="21"/>
              </w:rPr>
              <w:t>《排污许可管理条例》</w:t>
            </w:r>
            <w:r>
              <w:rPr>
                <w:rFonts w:cs="Times New Roman"/>
                <w:sz w:val="21"/>
                <w:szCs w:val="21"/>
              </w:rPr>
              <w:t>第十八条 排污单位应当按照生态环境主管部门的规定建设规范化污染物排放口，并设置标志牌。</w:t>
            </w:r>
          </w:p>
          <w:p w14:paraId="544023B8">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污染物排放口位置和数量、污染物排放方式和排放去向应当与排污许可证规定相符。</w:t>
            </w:r>
          </w:p>
          <w:p w14:paraId="2D670883">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实施新建、改建、扩建项目和技术改造的排污单位，应当在建设污染防治设施的同时，建设规范化污染物排放口。</w:t>
            </w:r>
          </w:p>
          <w:p w14:paraId="4F72B22A">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3.《云南省大气污染防治条例》（2026修订版）第十四条第一款</w:t>
            </w:r>
            <w:r>
              <w:rPr>
                <w:rFonts w:hint="eastAsia" w:cs="Times New Roman"/>
                <w:sz w:val="21"/>
                <w:szCs w:val="21"/>
              </w:rPr>
              <w:t xml:space="preserve"> </w:t>
            </w:r>
            <w:r>
              <w:rPr>
                <w:rFonts w:cs="Times New Roman"/>
                <w:sz w:val="21"/>
                <w:szCs w:val="21"/>
              </w:rPr>
              <w:t>向大气排放污染物的企业事业单位和其他生产经营者应当依照法律法规和国务院生态环境主管部门的规定设置、使用大气污染物排放口。</w:t>
            </w:r>
          </w:p>
          <w:p w14:paraId="0B03201A">
            <w:pPr>
              <w:pStyle w:val="20"/>
              <w:autoSpaceDE w:val="0"/>
              <w:autoSpaceDN w:val="0"/>
              <w:adjustRightInd w:val="0"/>
              <w:snapToGrid w:val="0"/>
              <w:spacing w:before="20" w:after="20" w:line="300" w:lineRule="auto"/>
              <w:ind w:left="0" w:right="0" w:rightChars="0" w:firstLine="0"/>
              <w:textAlignment w:val="baseline"/>
              <w:rPr>
                <w:rFonts w:hint="eastAsia" w:cs="Times New Roman"/>
                <w:b/>
                <w:bCs/>
                <w:sz w:val="21"/>
                <w:szCs w:val="21"/>
              </w:rPr>
            </w:pPr>
            <w:r>
              <w:rPr>
                <w:rFonts w:hint="eastAsia" w:cs="Times New Roman"/>
                <w:b/>
                <w:bCs/>
                <w:color w:val="auto"/>
                <w:sz w:val="21"/>
                <w:szCs w:val="21"/>
              </w:rPr>
              <w:t>4.</w:t>
            </w:r>
            <w:r>
              <w:rPr>
                <w:rFonts w:hint="eastAsia" w:cs="Times New Roman"/>
                <w:b/>
                <w:bCs/>
                <w:sz w:val="21"/>
                <w:szCs w:val="21"/>
              </w:rPr>
              <w:t>《云南省滇池保护条例》</w:t>
            </w:r>
            <w:r>
              <w:rPr>
                <w:rFonts w:cs="Times New Roman"/>
                <w:b/>
                <w:bCs/>
                <w:sz w:val="21"/>
                <w:szCs w:val="21"/>
              </w:rPr>
              <w:t>（2026修订版）</w:t>
            </w:r>
            <w:r>
              <w:rPr>
                <w:rFonts w:hint="eastAsia" w:cs="Times New Roman"/>
                <w:b/>
                <w:bCs/>
                <w:sz w:val="21"/>
                <w:szCs w:val="21"/>
              </w:rPr>
              <w:t>第二十五条第四项 生态保护缓冲区禁止下列行为：（四）新建、改建、扩建排污口（城镇污水集中处理设施排污口除外）、工业园区、陵园、墓地。</w:t>
            </w:r>
          </w:p>
          <w:p w14:paraId="690F3963">
            <w:pPr>
              <w:pStyle w:val="20"/>
              <w:autoSpaceDE w:val="0"/>
              <w:autoSpaceDN w:val="0"/>
              <w:adjustRightInd w:val="0"/>
              <w:snapToGrid w:val="0"/>
              <w:spacing w:before="20" w:after="20" w:line="300" w:lineRule="auto"/>
              <w:ind w:right="110"/>
              <w:textAlignment w:val="baseline"/>
              <w:rPr>
                <w:rFonts w:hint="eastAsia" w:cs="Times New Roman"/>
                <w:b/>
                <w:bCs/>
                <w:sz w:val="21"/>
                <w:szCs w:val="21"/>
              </w:rPr>
            </w:pPr>
            <w:r>
              <w:rPr>
                <w:rFonts w:hint="eastAsia" w:cs="Times New Roman"/>
                <w:b/>
                <w:bCs/>
                <w:sz w:val="21"/>
                <w:szCs w:val="21"/>
              </w:rPr>
              <w:t>第二十六条 绿色发展区应当控制开发利用强度、调整开发利用方式、实现流域保护和开发利用协调发展，以提升生态涵养功能、促进富民就业为重点，建设生态特色城镇和美丽乡村，构建绿色高质量发展的生产生活方式。</w:t>
            </w:r>
          </w:p>
          <w:p w14:paraId="2B78AFFB">
            <w:pPr>
              <w:pStyle w:val="20"/>
              <w:autoSpaceDE w:val="0"/>
              <w:autoSpaceDN w:val="0"/>
              <w:adjustRightInd w:val="0"/>
              <w:snapToGrid w:val="0"/>
              <w:spacing w:before="20" w:after="20" w:line="300" w:lineRule="auto"/>
              <w:ind w:right="110"/>
              <w:textAlignment w:val="baseline"/>
              <w:rPr>
                <w:rFonts w:hint="eastAsia" w:cs="Times New Roman"/>
                <w:b/>
                <w:bCs/>
                <w:sz w:val="21"/>
                <w:szCs w:val="21"/>
              </w:rPr>
            </w:pPr>
            <w:r>
              <w:rPr>
                <w:rFonts w:hint="eastAsia" w:cs="Times New Roman"/>
                <w:b/>
                <w:bCs/>
                <w:sz w:val="21"/>
                <w:szCs w:val="21"/>
              </w:rPr>
              <w:t>严禁审批高污染、高耗水、高耗能项目，禁止在绿色发展区内新建、改建、扩建造纸、制革、印染、染料、炼焦、炼硫、炼砷、炼油、炼汞、电镀、化肥、农药、石棉、水泥、玻璃、冶金、火电等项目，以及直接向入湖河道排放氮、磷污染物的工业项目和严重污染环境、破坏生态的其他项目。现有高污染、高耗水、高耗能项目应当全部迁出滇池流域。</w:t>
            </w:r>
          </w:p>
          <w:p w14:paraId="0488CDDD">
            <w:pPr>
              <w:pStyle w:val="20"/>
              <w:autoSpaceDE w:val="0"/>
              <w:autoSpaceDN w:val="0"/>
              <w:adjustRightInd w:val="0"/>
              <w:snapToGrid w:val="0"/>
              <w:spacing w:before="20" w:after="20" w:line="300" w:lineRule="auto"/>
              <w:ind w:right="110"/>
              <w:textAlignment w:val="baseline"/>
              <w:rPr>
                <w:rFonts w:hint="eastAsia" w:cs="Times New Roman"/>
                <w:b/>
                <w:bCs/>
                <w:sz w:val="21"/>
                <w:szCs w:val="21"/>
              </w:rPr>
            </w:pPr>
            <w:r>
              <w:rPr>
                <w:rFonts w:hint="eastAsia" w:cs="Times New Roman"/>
                <w:b/>
                <w:bCs/>
                <w:sz w:val="21"/>
                <w:szCs w:val="21"/>
              </w:rPr>
              <w:t>5.《云南省阳宗海保护条例》（2026修订版）第二十三条第四项 在生态保护缓冲区内的区域以及绿色发展区主要入湖河道两侧20米各水平外延50米以内的区域，禁止下列行为：（四）新建、改建、扩建排污口。</w:t>
            </w:r>
          </w:p>
          <w:p w14:paraId="130EF38A">
            <w:pPr>
              <w:pStyle w:val="20"/>
              <w:autoSpaceDE w:val="0"/>
              <w:autoSpaceDN w:val="0"/>
              <w:adjustRightInd w:val="0"/>
              <w:snapToGrid w:val="0"/>
              <w:spacing w:before="20" w:after="20" w:line="300" w:lineRule="auto"/>
              <w:ind w:right="110"/>
              <w:textAlignment w:val="baseline"/>
              <w:rPr>
                <w:rFonts w:cs="Times New Roman"/>
                <w:b/>
                <w:bCs/>
                <w:sz w:val="21"/>
                <w:szCs w:val="21"/>
              </w:rPr>
            </w:pPr>
            <w:r>
              <w:rPr>
                <w:rFonts w:hint="eastAsia" w:cs="Times New Roman"/>
                <w:b/>
                <w:bCs/>
                <w:sz w:val="21"/>
                <w:szCs w:val="21"/>
              </w:rPr>
              <w:t>第二十四条第一项 阳宗海最高运行水位东西向外水平延伸600米，南北向外水平延伸1300米以内未纳入生态保护核心区、生态保护缓冲区的区域的所有设施和开发性、生产性建设活动应当严格管控，提升环保标准，做到垃圾、污水全收集全处理，确保不让垃圾、污水入湖，禁止下列行为：（一）新建、改建、扩建排污口和工业项目；</w:t>
            </w:r>
          </w:p>
          <w:p w14:paraId="1E1658C9">
            <w:pPr>
              <w:pStyle w:val="20"/>
              <w:autoSpaceDE w:val="0"/>
              <w:autoSpaceDN w:val="0"/>
              <w:adjustRightInd w:val="0"/>
              <w:snapToGrid w:val="0"/>
              <w:spacing w:before="20" w:after="20" w:line="300" w:lineRule="auto"/>
              <w:ind w:left="0" w:right="0" w:rightChars="0" w:firstLine="0"/>
              <w:textAlignment w:val="baseline"/>
              <w:rPr>
                <w:rFonts w:hint="eastAsia" w:cs="Times New Roman"/>
                <w:b/>
                <w:bCs/>
                <w:sz w:val="21"/>
                <w:szCs w:val="21"/>
              </w:rPr>
            </w:pPr>
            <w:r>
              <w:rPr>
                <w:rFonts w:hint="eastAsia" w:cs="Times New Roman"/>
                <w:b/>
                <w:bCs/>
                <w:sz w:val="21"/>
                <w:szCs w:val="21"/>
              </w:rPr>
              <w:t>6.</w:t>
            </w:r>
            <w:r>
              <w:rPr>
                <w:rFonts w:cs="Times New Roman"/>
                <w:b/>
                <w:bCs/>
                <w:sz w:val="21"/>
                <w:szCs w:val="21"/>
              </w:rPr>
              <w:t>《昆明市大气污染防治条例》（2026修订版）第十六条 向大气排放污染物的企业事业单位和其他生产经营者，应当按照有关规定设置</w:t>
            </w:r>
            <w:r>
              <w:rPr>
                <w:rFonts w:hint="eastAsia" w:cs="Times New Roman"/>
                <w:b/>
                <w:bCs/>
                <w:sz w:val="21"/>
                <w:szCs w:val="21"/>
              </w:rPr>
              <w:t>、使用</w:t>
            </w:r>
            <w:r>
              <w:rPr>
                <w:rFonts w:cs="Times New Roman"/>
                <w:b/>
                <w:bCs/>
                <w:sz w:val="21"/>
                <w:szCs w:val="21"/>
              </w:rPr>
              <w:t>大气污染物排放口。</w:t>
            </w:r>
          </w:p>
          <w:p w14:paraId="01CCA755">
            <w:pPr>
              <w:pStyle w:val="20"/>
              <w:autoSpaceDE w:val="0"/>
              <w:autoSpaceDN w:val="0"/>
              <w:adjustRightInd w:val="0"/>
              <w:snapToGrid w:val="0"/>
              <w:spacing w:before="20" w:after="20" w:line="300" w:lineRule="auto"/>
              <w:ind w:left="0" w:right="110" w:firstLine="0"/>
              <w:textAlignment w:val="baseline"/>
              <w:rPr>
                <w:rFonts w:hint="eastAsia" w:cs="Times New Roman"/>
                <w:b/>
                <w:bCs/>
                <w:sz w:val="21"/>
                <w:szCs w:val="21"/>
              </w:rPr>
            </w:pPr>
          </w:p>
        </w:tc>
      </w:tr>
      <w:tr w14:paraId="4C80F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5" w:hRule="atLeast"/>
          <w:jc w:val="center"/>
        </w:trPr>
        <w:tc>
          <w:tcPr>
            <w:tcW w:w="635" w:type="pct"/>
            <w:noWrap w:val="0"/>
            <w:vAlign w:val="center"/>
          </w:tcPr>
          <w:p w14:paraId="73D46AE5">
            <w:pPr>
              <w:spacing w:before="20" w:after="20" w:line="300" w:lineRule="auto"/>
              <w:jc w:val="center"/>
              <w:rPr>
                <w:rFonts w:hint="eastAsia"/>
                <w:b/>
              </w:rPr>
            </w:pPr>
            <w:r>
              <w:rPr>
                <w:b/>
              </w:rPr>
              <w:t>处罚依据</w:t>
            </w:r>
          </w:p>
        </w:tc>
        <w:tc>
          <w:tcPr>
            <w:tcW w:w="4365" w:type="pct"/>
            <w:gridSpan w:val="2"/>
            <w:noWrap w:val="0"/>
            <w:tcMar>
              <w:top w:w="0" w:type="dxa"/>
              <w:left w:w="57" w:type="dxa"/>
              <w:bottom w:w="0" w:type="dxa"/>
              <w:right w:w="57" w:type="dxa"/>
            </w:tcMar>
            <w:vAlign w:val="center"/>
          </w:tcPr>
          <w:p w14:paraId="3D2464F5">
            <w:pPr>
              <w:spacing w:before="20" w:after="20" w:line="300" w:lineRule="auto"/>
              <w:rPr>
                <w:rFonts w:hint="eastAsia" w:ascii="宋体" w:hAnsi="宋体" w:eastAsia="宋体"/>
                <w:sz w:val="21"/>
                <w:szCs w:val="21"/>
              </w:rPr>
            </w:pPr>
            <w:r>
              <w:rPr>
                <w:rFonts w:ascii="宋体" w:hAnsi="宋体" w:eastAsia="宋体"/>
                <w:sz w:val="21"/>
                <w:szCs w:val="21"/>
              </w:rPr>
              <w:t>1.《中华人民共和国生态环境法典》第一千一百零九条第一款、第二款 违反本法和其他法律法规、国务院生态环境主管部门的规定、排污许可证规定设置排污口的，除本条第二款规定外，由生态环境主管部门责令限期拆除，逾期不拆除的，强制拆除，所需费用由违法者承担，处二万元以上十万元以下的罚款；情节严重的，处十万元以上五十万元以下的罚款，责令限制生产、停产整治。</w:t>
            </w:r>
          </w:p>
          <w:p w14:paraId="2A280B09">
            <w:pPr>
              <w:spacing w:before="20" w:after="20" w:line="300" w:lineRule="auto"/>
              <w:rPr>
                <w:rFonts w:hint="eastAsia" w:ascii="宋体" w:hAnsi="宋体" w:eastAsia="宋体"/>
                <w:sz w:val="21"/>
                <w:szCs w:val="21"/>
              </w:rPr>
            </w:pPr>
            <w:r>
              <w:rPr>
                <w:rFonts w:ascii="宋体" w:hAnsi="宋体" w:eastAsia="宋体"/>
                <w:sz w:val="21"/>
                <w:szCs w:val="21"/>
              </w:rPr>
              <w:t>违反本法规定，在饮用水水源保护区内设置排污口的，或者在自然保护地水体等具有特殊经济文化价值的水体、生态保护红线区域及其他需要特别保护的区域新设排污口的，由县级以上地方人民政府责令限期拆除，逾期不拆除的，强制拆除，所需费用由违法者承担，由生态环境主管部门处十万元以上五十万元以下的罚款；情节严重的，处五十万元以上一百万元以下的罚款，责令限制生产、停产整治。</w:t>
            </w:r>
          </w:p>
          <w:p w14:paraId="60C4F288">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2.</w:t>
            </w:r>
            <w:r>
              <w:rPr>
                <w:rFonts w:hint="eastAsia" w:cs="Times New Roman"/>
                <w:sz w:val="21"/>
                <w:szCs w:val="21"/>
              </w:rPr>
              <w:t>《排污许可管理条例》</w:t>
            </w:r>
            <w:r>
              <w:rPr>
                <w:rFonts w:cs="Times New Roman"/>
                <w:sz w:val="21"/>
                <w:szCs w:val="21"/>
              </w:rPr>
              <w:t>第三十六条第一项、第二项 违反本条例规定，排污单位有下列行为之一的，由生态环境主管部门责令改正，处2万元以上20万元以下的罚款；拒不改正的，责令停产整治：</w:t>
            </w:r>
          </w:p>
          <w:p w14:paraId="41C60317">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（一）污染物排放口位置或者数量不符合排污许可证规定；</w:t>
            </w:r>
          </w:p>
          <w:p w14:paraId="2818565B">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（二）污染物排放方式或者排放去向不符合排污许可证规定。</w:t>
            </w:r>
          </w:p>
          <w:p w14:paraId="7019B021">
            <w:pPr>
              <w:pStyle w:val="20"/>
              <w:tabs>
                <w:tab w:val="left" w:pos="2850"/>
              </w:tabs>
              <w:autoSpaceDE w:val="0"/>
              <w:autoSpaceDN w:val="0"/>
              <w:adjustRightInd w:val="0"/>
              <w:snapToGrid w:val="0"/>
              <w:spacing w:before="20" w:after="20" w:line="300" w:lineRule="auto"/>
              <w:ind w:left="0" w:right="0" w:rightChars="0" w:firstLine="0"/>
              <w:textAlignment w:val="baseline"/>
              <w:rPr>
                <w:rFonts w:hint="eastAsia" w:cs="Times New Roman"/>
                <w:b/>
                <w:bCs/>
                <w:sz w:val="21"/>
                <w:szCs w:val="21"/>
              </w:rPr>
            </w:pPr>
            <w:r>
              <w:rPr>
                <w:rFonts w:cs="Times New Roman"/>
                <w:sz w:val="21"/>
                <w:szCs w:val="21"/>
              </w:rPr>
              <w:t>3.</w:t>
            </w:r>
            <w:r>
              <w:rPr>
                <w:rFonts w:hint="eastAsia" w:cs="Times New Roman"/>
                <w:b/>
                <w:bCs/>
                <w:sz w:val="21"/>
                <w:szCs w:val="21"/>
              </w:rPr>
              <w:t>《云南省滇池保护条例》</w:t>
            </w:r>
            <w:r>
              <w:rPr>
                <w:rFonts w:cs="Times New Roman"/>
                <w:b/>
                <w:bCs/>
                <w:sz w:val="21"/>
                <w:szCs w:val="21"/>
              </w:rPr>
              <w:t>（2026修订版）</w:t>
            </w:r>
            <w:r>
              <w:rPr>
                <w:rFonts w:hint="eastAsia" w:cs="Times New Roman"/>
                <w:b/>
                <w:bCs/>
                <w:sz w:val="21"/>
                <w:szCs w:val="21"/>
              </w:rPr>
              <w:t>第七十九条第一项  违反本条例规定，在生态保护缓冲区内有下列行为之一的，由有关主管部门按照职责分工予以处罚：</w:t>
            </w:r>
          </w:p>
          <w:p w14:paraId="2E51B7D2">
            <w:pPr>
              <w:pStyle w:val="20"/>
              <w:autoSpaceDE w:val="0"/>
              <w:autoSpaceDN w:val="0"/>
              <w:adjustRightInd w:val="0"/>
              <w:snapToGrid w:val="0"/>
              <w:spacing w:before="20" w:after="20" w:line="300" w:lineRule="auto"/>
              <w:ind w:right="110"/>
              <w:textAlignment w:val="baseline"/>
              <w:rPr>
                <w:rFonts w:hint="eastAsia" w:cs="Times New Roman"/>
                <w:sz w:val="21"/>
                <w:szCs w:val="21"/>
              </w:rPr>
            </w:pPr>
            <w:r>
              <w:rPr>
                <w:rFonts w:hint="eastAsia" w:cs="Times New Roman"/>
                <w:b/>
                <w:bCs/>
                <w:sz w:val="21"/>
                <w:szCs w:val="21"/>
              </w:rPr>
              <w:t>（一）新建、改建、扩建生态保护缓冲区内禁止建设的项目，以及新建、改建、扩建排污口（城镇污水集中处理设施排污口除外）、工业园区、陵园、墓地的，由生态环境、自然资源、住房城乡建设、民政等主管部门依法查处。</w:t>
            </w:r>
          </w:p>
        </w:tc>
      </w:tr>
      <w:tr w14:paraId="77C14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5" w:type="pct"/>
            <w:noWrap w:val="0"/>
            <w:vAlign w:val="center"/>
          </w:tcPr>
          <w:p w14:paraId="62F1D39F">
            <w:pPr>
              <w:spacing w:before="20" w:after="20" w:line="300" w:lineRule="auto"/>
              <w:jc w:val="center"/>
              <w:rPr>
                <w:rFonts w:hint="eastAsia"/>
                <w:b/>
              </w:rPr>
            </w:pPr>
            <w:r>
              <w:rPr>
                <w:b/>
              </w:rPr>
              <w:t>裁量因素</w:t>
            </w:r>
          </w:p>
        </w:tc>
        <w:tc>
          <w:tcPr>
            <w:tcW w:w="3740" w:type="pct"/>
            <w:noWrap w:val="0"/>
            <w:tcMar>
              <w:top w:w="0" w:type="dxa"/>
              <w:left w:w="57" w:type="dxa"/>
              <w:bottom w:w="0" w:type="dxa"/>
              <w:right w:w="57" w:type="dxa"/>
            </w:tcMar>
            <w:vAlign w:val="center"/>
          </w:tcPr>
          <w:p w14:paraId="02F18553">
            <w:pPr>
              <w:spacing w:before="20" w:after="20" w:line="300" w:lineRule="auto"/>
              <w:jc w:val="center"/>
              <w:rPr>
                <w:rFonts w:hint="eastAsia"/>
                <w:b/>
              </w:rPr>
            </w:pPr>
            <w:r>
              <w:rPr>
                <w:b/>
              </w:rPr>
              <w:t>裁量因子</w:t>
            </w:r>
          </w:p>
        </w:tc>
        <w:tc>
          <w:tcPr>
            <w:tcW w:w="625" w:type="pct"/>
            <w:noWrap w:val="0"/>
            <w:tcMar>
              <w:top w:w="0" w:type="dxa"/>
              <w:left w:w="57" w:type="dxa"/>
              <w:bottom w:w="0" w:type="dxa"/>
              <w:right w:w="57" w:type="dxa"/>
            </w:tcMar>
            <w:vAlign w:val="center"/>
          </w:tcPr>
          <w:p w14:paraId="2D441233">
            <w:pPr>
              <w:spacing w:before="20" w:after="20" w:line="300" w:lineRule="auto"/>
              <w:jc w:val="center"/>
              <w:rPr>
                <w:rFonts w:hint="eastAsia"/>
                <w:b/>
              </w:rPr>
            </w:pPr>
            <w:r>
              <w:rPr>
                <w:b/>
              </w:rPr>
              <w:t>裁量等级</w:t>
            </w:r>
          </w:p>
        </w:tc>
      </w:tr>
      <w:tr w14:paraId="58E6B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5" w:type="pct"/>
            <w:vMerge w:val="restart"/>
            <w:noWrap w:val="0"/>
            <w:vAlign w:val="center"/>
          </w:tcPr>
          <w:p w14:paraId="3F92C32E">
            <w:pPr>
              <w:spacing w:before="20" w:after="20" w:line="300" w:lineRule="auto"/>
              <w:jc w:val="center"/>
              <w:rPr>
                <w:rFonts w:hint="eastAsia"/>
                <w:b/>
              </w:rPr>
            </w:pPr>
            <w:r>
              <w:rPr>
                <w:b/>
              </w:rPr>
              <w:t>违法事实</w:t>
            </w:r>
          </w:p>
        </w:tc>
        <w:tc>
          <w:tcPr>
            <w:tcW w:w="3740" w:type="pct"/>
            <w:noWrap w:val="0"/>
            <w:tcMar>
              <w:top w:w="0" w:type="dxa"/>
              <w:left w:w="57" w:type="dxa"/>
              <w:bottom w:w="0" w:type="dxa"/>
              <w:right w:w="57" w:type="dxa"/>
            </w:tcMar>
            <w:vAlign w:val="center"/>
          </w:tcPr>
          <w:p w14:paraId="3BBFC415">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排污口正在建设中</w:t>
            </w:r>
          </w:p>
        </w:tc>
        <w:tc>
          <w:tcPr>
            <w:tcW w:w="625" w:type="pct"/>
            <w:noWrap w:val="0"/>
            <w:tcMar>
              <w:top w:w="0" w:type="dxa"/>
              <w:left w:w="57" w:type="dxa"/>
              <w:bottom w:w="0" w:type="dxa"/>
              <w:right w:w="57" w:type="dxa"/>
            </w:tcMar>
            <w:vAlign w:val="center"/>
          </w:tcPr>
          <w:p w14:paraId="2419C2CC">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1DE1E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5" w:type="pct"/>
            <w:vMerge w:val="continue"/>
            <w:noWrap w:val="0"/>
            <w:vAlign w:val="center"/>
          </w:tcPr>
          <w:p w14:paraId="4267F225">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40" w:type="pct"/>
            <w:noWrap w:val="0"/>
            <w:tcMar>
              <w:top w:w="0" w:type="dxa"/>
              <w:left w:w="57" w:type="dxa"/>
              <w:bottom w:w="0" w:type="dxa"/>
              <w:right w:w="57" w:type="dxa"/>
            </w:tcMar>
            <w:vAlign w:val="center"/>
          </w:tcPr>
          <w:p w14:paraId="70980108">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排污口已建成，尚未投入使用</w:t>
            </w:r>
          </w:p>
        </w:tc>
        <w:tc>
          <w:tcPr>
            <w:tcW w:w="625" w:type="pct"/>
            <w:noWrap w:val="0"/>
            <w:tcMar>
              <w:top w:w="0" w:type="dxa"/>
              <w:left w:w="57" w:type="dxa"/>
              <w:bottom w:w="0" w:type="dxa"/>
              <w:right w:w="57" w:type="dxa"/>
            </w:tcMar>
            <w:vAlign w:val="center"/>
          </w:tcPr>
          <w:p w14:paraId="67AB3875">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11902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5" w:type="pct"/>
            <w:vMerge w:val="continue"/>
            <w:noWrap w:val="0"/>
            <w:vAlign w:val="center"/>
          </w:tcPr>
          <w:p w14:paraId="6EE72422">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40" w:type="pct"/>
            <w:noWrap w:val="0"/>
            <w:tcMar>
              <w:top w:w="0" w:type="dxa"/>
              <w:left w:w="57" w:type="dxa"/>
              <w:bottom w:w="0" w:type="dxa"/>
              <w:right w:w="57" w:type="dxa"/>
            </w:tcMar>
            <w:vAlign w:val="center"/>
          </w:tcPr>
          <w:p w14:paraId="3AE86134">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排污口已投入使用</w:t>
            </w:r>
          </w:p>
        </w:tc>
        <w:tc>
          <w:tcPr>
            <w:tcW w:w="625" w:type="pct"/>
            <w:noWrap w:val="0"/>
            <w:tcMar>
              <w:top w:w="0" w:type="dxa"/>
              <w:left w:w="57" w:type="dxa"/>
              <w:bottom w:w="0" w:type="dxa"/>
              <w:right w:w="57" w:type="dxa"/>
            </w:tcMar>
            <w:vAlign w:val="center"/>
          </w:tcPr>
          <w:p w14:paraId="075E54FB">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4A143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5" w:type="pct"/>
            <w:vMerge w:val="restart"/>
            <w:noWrap w:val="0"/>
            <w:vAlign w:val="center"/>
          </w:tcPr>
          <w:p w14:paraId="691D4570">
            <w:pPr>
              <w:spacing w:before="20" w:after="20" w:line="300" w:lineRule="auto"/>
              <w:jc w:val="center"/>
              <w:rPr>
                <w:rFonts w:hint="eastAsia"/>
                <w:b/>
              </w:rPr>
            </w:pPr>
            <w:r>
              <w:rPr>
                <w:b/>
              </w:rPr>
              <w:t>废水类别</w:t>
            </w:r>
          </w:p>
        </w:tc>
        <w:tc>
          <w:tcPr>
            <w:tcW w:w="3740" w:type="pct"/>
            <w:noWrap w:val="0"/>
            <w:tcMar>
              <w:top w:w="0" w:type="dxa"/>
              <w:left w:w="57" w:type="dxa"/>
              <w:bottom w:w="0" w:type="dxa"/>
              <w:right w:w="57" w:type="dxa"/>
            </w:tcMar>
            <w:vAlign w:val="center"/>
          </w:tcPr>
          <w:p w14:paraId="3801A42D">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生活污水</w:t>
            </w:r>
          </w:p>
        </w:tc>
        <w:tc>
          <w:tcPr>
            <w:tcW w:w="625" w:type="pct"/>
            <w:noWrap w:val="0"/>
            <w:tcMar>
              <w:top w:w="0" w:type="dxa"/>
              <w:left w:w="57" w:type="dxa"/>
              <w:bottom w:w="0" w:type="dxa"/>
              <w:right w:w="57" w:type="dxa"/>
            </w:tcMar>
            <w:vAlign w:val="center"/>
          </w:tcPr>
          <w:p w14:paraId="420E59FD">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4EF43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5" w:type="pct"/>
            <w:vMerge w:val="continue"/>
            <w:noWrap w:val="0"/>
            <w:vAlign w:val="center"/>
          </w:tcPr>
          <w:p w14:paraId="78F3E7F1">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40" w:type="pct"/>
            <w:noWrap w:val="0"/>
            <w:tcMar>
              <w:top w:w="0" w:type="dxa"/>
              <w:left w:w="57" w:type="dxa"/>
              <w:bottom w:w="0" w:type="dxa"/>
              <w:right w:w="57" w:type="dxa"/>
            </w:tcMar>
            <w:vAlign w:val="center"/>
          </w:tcPr>
          <w:p w14:paraId="0D764FC8">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服务业废水、畜禽散养养殖废水</w:t>
            </w:r>
          </w:p>
        </w:tc>
        <w:tc>
          <w:tcPr>
            <w:tcW w:w="625" w:type="pct"/>
            <w:noWrap w:val="0"/>
            <w:tcMar>
              <w:top w:w="0" w:type="dxa"/>
              <w:left w:w="57" w:type="dxa"/>
              <w:bottom w:w="0" w:type="dxa"/>
              <w:right w:w="57" w:type="dxa"/>
            </w:tcMar>
            <w:vAlign w:val="center"/>
          </w:tcPr>
          <w:p w14:paraId="569EF563">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2</w:t>
            </w:r>
          </w:p>
        </w:tc>
      </w:tr>
      <w:tr w14:paraId="33A3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5" w:type="pct"/>
            <w:vMerge w:val="continue"/>
            <w:noWrap w:val="0"/>
            <w:vAlign w:val="center"/>
          </w:tcPr>
          <w:p w14:paraId="10DAADA5">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40" w:type="pct"/>
            <w:noWrap w:val="0"/>
            <w:tcMar>
              <w:top w:w="0" w:type="dxa"/>
              <w:left w:w="57" w:type="dxa"/>
              <w:bottom w:w="0" w:type="dxa"/>
              <w:right w:w="57" w:type="dxa"/>
            </w:tcMar>
            <w:vAlign w:val="center"/>
          </w:tcPr>
          <w:p w14:paraId="767CD4B6">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一般工业废水、规模化以上养殖企业养殖废水</w:t>
            </w:r>
          </w:p>
        </w:tc>
        <w:tc>
          <w:tcPr>
            <w:tcW w:w="625" w:type="pct"/>
            <w:noWrap w:val="0"/>
            <w:tcMar>
              <w:top w:w="0" w:type="dxa"/>
              <w:left w:w="57" w:type="dxa"/>
              <w:bottom w:w="0" w:type="dxa"/>
              <w:right w:w="57" w:type="dxa"/>
            </w:tcMar>
            <w:vAlign w:val="center"/>
          </w:tcPr>
          <w:p w14:paraId="66E4635C">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275D8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5" w:type="pct"/>
            <w:vMerge w:val="continue"/>
            <w:noWrap w:val="0"/>
            <w:vAlign w:val="center"/>
          </w:tcPr>
          <w:p w14:paraId="737662A7">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40" w:type="pct"/>
            <w:noWrap w:val="0"/>
            <w:tcMar>
              <w:top w:w="0" w:type="dxa"/>
              <w:left w:w="57" w:type="dxa"/>
              <w:bottom w:w="0" w:type="dxa"/>
              <w:right w:w="57" w:type="dxa"/>
            </w:tcMar>
            <w:vAlign w:val="center"/>
          </w:tcPr>
          <w:p w14:paraId="785E4FF3">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含其他有毒有害污染物的废水、医疗废水</w:t>
            </w:r>
          </w:p>
        </w:tc>
        <w:tc>
          <w:tcPr>
            <w:tcW w:w="625" w:type="pct"/>
            <w:noWrap w:val="0"/>
            <w:tcMar>
              <w:top w:w="0" w:type="dxa"/>
              <w:left w:w="57" w:type="dxa"/>
              <w:bottom w:w="0" w:type="dxa"/>
              <w:right w:w="57" w:type="dxa"/>
            </w:tcMar>
            <w:vAlign w:val="center"/>
          </w:tcPr>
          <w:p w14:paraId="46FCA8F0">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pacing w:val="1"/>
                <w:sz w:val="21"/>
                <w:szCs w:val="21"/>
              </w:rPr>
              <w:t>4</w:t>
            </w:r>
          </w:p>
        </w:tc>
      </w:tr>
      <w:tr w14:paraId="2B0C6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5" w:type="pct"/>
            <w:vMerge w:val="continue"/>
            <w:noWrap w:val="0"/>
            <w:vAlign w:val="center"/>
          </w:tcPr>
          <w:p w14:paraId="0667C0D6">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40" w:type="pct"/>
            <w:noWrap w:val="0"/>
            <w:tcMar>
              <w:top w:w="0" w:type="dxa"/>
              <w:left w:w="57" w:type="dxa"/>
              <w:bottom w:w="0" w:type="dxa"/>
              <w:right w:w="57" w:type="dxa"/>
            </w:tcMar>
            <w:vAlign w:val="center"/>
          </w:tcPr>
          <w:p w14:paraId="4A3CECED">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含第一类污染物或重金属、病原体、放射性物</w:t>
            </w:r>
            <w:r>
              <w:rPr>
                <w:rFonts w:cs="Times New Roman"/>
                <w:spacing w:val="7"/>
                <w:sz w:val="21"/>
                <w:szCs w:val="21"/>
              </w:rPr>
              <w:t>质的废水</w:t>
            </w:r>
          </w:p>
        </w:tc>
        <w:tc>
          <w:tcPr>
            <w:tcW w:w="625" w:type="pct"/>
            <w:noWrap w:val="0"/>
            <w:tcMar>
              <w:top w:w="0" w:type="dxa"/>
              <w:left w:w="57" w:type="dxa"/>
              <w:bottom w:w="0" w:type="dxa"/>
              <w:right w:w="57" w:type="dxa"/>
            </w:tcMar>
            <w:vAlign w:val="center"/>
          </w:tcPr>
          <w:p w14:paraId="467CB4E1">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4C59D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5" w:type="pct"/>
            <w:vMerge w:val="restart"/>
            <w:noWrap w:val="0"/>
            <w:vAlign w:val="center"/>
          </w:tcPr>
          <w:p w14:paraId="3DF870FA">
            <w:pPr>
              <w:spacing w:before="20" w:after="20" w:line="300" w:lineRule="auto"/>
              <w:jc w:val="center"/>
              <w:rPr>
                <w:rFonts w:hint="eastAsia"/>
                <w:b/>
              </w:rPr>
            </w:pPr>
            <w:r>
              <w:rPr>
                <w:b/>
              </w:rPr>
              <w:t>废气类别</w:t>
            </w:r>
          </w:p>
        </w:tc>
        <w:tc>
          <w:tcPr>
            <w:tcW w:w="3740" w:type="pct"/>
            <w:noWrap w:val="0"/>
            <w:tcMar>
              <w:top w:w="0" w:type="dxa"/>
              <w:left w:w="57" w:type="dxa"/>
              <w:bottom w:w="0" w:type="dxa"/>
              <w:right w:w="57" w:type="dxa"/>
            </w:tcMar>
            <w:vAlign w:val="center"/>
          </w:tcPr>
          <w:p w14:paraId="173B3EAD">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餐饮油烟（经营）</w:t>
            </w:r>
          </w:p>
        </w:tc>
        <w:tc>
          <w:tcPr>
            <w:tcW w:w="625" w:type="pct"/>
            <w:noWrap w:val="0"/>
            <w:tcMar>
              <w:top w:w="0" w:type="dxa"/>
              <w:left w:w="57" w:type="dxa"/>
              <w:bottom w:w="0" w:type="dxa"/>
              <w:right w:w="57" w:type="dxa"/>
            </w:tcMar>
            <w:vAlign w:val="center"/>
          </w:tcPr>
          <w:p w14:paraId="686136B1">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721B7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5" w:type="pct"/>
            <w:vMerge w:val="continue"/>
            <w:noWrap w:val="0"/>
            <w:vAlign w:val="center"/>
          </w:tcPr>
          <w:p w14:paraId="6006D9C2">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40" w:type="pct"/>
            <w:noWrap w:val="0"/>
            <w:tcMar>
              <w:top w:w="0" w:type="dxa"/>
              <w:left w:w="57" w:type="dxa"/>
              <w:bottom w:w="0" w:type="dxa"/>
              <w:right w:w="57" w:type="dxa"/>
            </w:tcMar>
            <w:vAlign w:val="center"/>
          </w:tcPr>
          <w:p w14:paraId="68B94FDA">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农业生产废气/畜禽养殖废气/工地扬尘/机械、汽车修理废气</w:t>
            </w:r>
          </w:p>
        </w:tc>
        <w:tc>
          <w:tcPr>
            <w:tcW w:w="625" w:type="pct"/>
            <w:noWrap w:val="0"/>
            <w:tcMar>
              <w:top w:w="0" w:type="dxa"/>
              <w:left w:w="57" w:type="dxa"/>
              <w:bottom w:w="0" w:type="dxa"/>
              <w:right w:w="57" w:type="dxa"/>
            </w:tcMar>
            <w:vAlign w:val="center"/>
          </w:tcPr>
          <w:p w14:paraId="73B87F5B">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2</w:t>
            </w:r>
          </w:p>
        </w:tc>
      </w:tr>
      <w:tr w14:paraId="120A4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5" w:type="pct"/>
            <w:vMerge w:val="continue"/>
            <w:noWrap w:val="0"/>
            <w:vAlign w:val="center"/>
          </w:tcPr>
          <w:p w14:paraId="1861853C">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40" w:type="pct"/>
            <w:noWrap w:val="0"/>
            <w:tcMar>
              <w:top w:w="0" w:type="dxa"/>
              <w:left w:w="57" w:type="dxa"/>
              <w:bottom w:w="0" w:type="dxa"/>
              <w:right w:w="57" w:type="dxa"/>
            </w:tcMar>
            <w:vAlign w:val="center"/>
          </w:tcPr>
          <w:p w14:paraId="0B401876">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一般工业废气/含恶臭污染物的废气（除畜禽养殖废气）/医疗废气/实验室废气</w:t>
            </w:r>
          </w:p>
        </w:tc>
        <w:tc>
          <w:tcPr>
            <w:tcW w:w="625" w:type="pct"/>
            <w:noWrap w:val="0"/>
            <w:tcMar>
              <w:top w:w="0" w:type="dxa"/>
              <w:left w:w="57" w:type="dxa"/>
              <w:bottom w:w="0" w:type="dxa"/>
              <w:right w:w="57" w:type="dxa"/>
            </w:tcMar>
            <w:vAlign w:val="center"/>
          </w:tcPr>
          <w:p w14:paraId="6DF0F716">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69FB7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5" w:type="pct"/>
            <w:vMerge w:val="continue"/>
            <w:noWrap w:val="0"/>
            <w:vAlign w:val="center"/>
          </w:tcPr>
          <w:p w14:paraId="6C2E7ACC">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40" w:type="pct"/>
            <w:noWrap w:val="0"/>
            <w:tcMar>
              <w:top w:w="0" w:type="dxa"/>
              <w:left w:w="57" w:type="dxa"/>
              <w:bottom w:w="0" w:type="dxa"/>
              <w:right w:w="57" w:type="dxa"/>
            </w:tcMar>
            <w:vAlign w:val="center"/>
          </w:tcPr>
          <w:p w14:paraId="3E9601AB">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火电、钢铁、石化、水泥、炼焦、有色、化工废气、烟尘/燃煤锅炉废气、烟尘</w:t>
            </w:r>
          </w:p>
        </w:tc>
        <w:tc>
          <w:tcPr>
            <w:tcW w:w="625" w:type="pct"/>
            <w:noWrap w:val="0"/>
            <w:tcMar>
              <w:top w:w="0" w:type="dxa"/>
              <w:left w:w="57" w:type="dxa"/>
              <w:bottom w:w="0" w:type="dxa"/>
              <w:right w:w="57" w:type="dxa"/>
            </w:tcMar>
            <w:vAlign w:val="center"/>
          </w:tcPr>
          <w:p w14:paraId="30105B55">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pacing w:val="1"/>
                <w:sz w:val="21"/>
                <w:szCs w:val="21"/>
              </w:rPr>
              <w:t>4</w:t>
            </w:r>
          </w:p>
        </w:tc>
      </w:tr>
      <w:tr w14:paraId="12103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5" w:type="pct"/>
            <w:vMerge w:val="continue"/>
            <w:noWrap w:val="0"/>
            <w:vAlign w:val="center"/>
          </w:tcPr>
          <w:p w14:paraId="7683F296">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40" w:type="pct"/>
            <w:noWrap w:val="0"/>
            <w:tcMar>
              <w:top w:w="0" w:type="dxa"/>
              <w:left w:w="57" w:type="dxa"/>
              <w:bottom w:w="0" w:type="dxa"/>
              <w:right w:w="57" w:type="dxa"/>
            </w:tcMar>
            <w:vAlign w:val="center"/>
          </w:tcPr>
          <w:p w14:paraId="7FA1E025">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含其他有毒有害物质的废气</w:t>
            </w:r>
          </w:p>
        </w:tc>
        <w:tc>
          <w:tcPr>
            <w:tcW w:w="625" w:type="pct"/>
            <w:noWrap w:val="0"/>
            <w:tcMar>
              <w:top w:w="0" w:type="dxa"/>
              <w:left w:w="57" w:type="dxa"/>
              <w:bottom w:w="0" w:type="dxa"/>
              <w:right w:w="57" w:type="dxa"/>
            </w:tcMar>
            <w:vAlign w:val="center"/>
          </w:tcPr>
          <w:p w14:paraId="4BBFAA40">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252DB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5" w:type="pct"/>
            <w:vMerge w:val="restart"/>
            <w:noWrap w:val="0"/>
            <w:vAlign w:val="center"/>
          </w:tcPr>
          <w:p w14:paraId="35885C1E">
            <w:pPr>
              <w:spacing w:before="20" w:after="20" w:line="300" w:lineRule="auto"/>
              <w:jc w:val="center"/>
              <w:rPr>
                <w:rFonts w:hint="eastAsia"/>
                <w:b/>
              </w:rPr>
            </w:pPr>
            <w:r>
              <w:rPr>
                <w:b/>
              </w:rPr>
              <w:t>排放去向或</w:t>
            </w:r>
          </w:p>
          <w:p w14:paraId="0590C9C9">
            <w:pPr>
              <w:spacing w:before="20" w:after="20" w:line="300" w:lineRule="auto"/>
              <w:jc w:val="center"/>
              <w:rPr>
                <w:rFonts w:hint="eastAsia"/>
                <w:b/>
              </w:rPr>
            </w:pPr>
            <w:r>
              <w:rPr>
                <w:b/>
              </w:rPr>
              <w:t>区域</w:t>
            </w:r>
          </w:p>
        </w:tc>
        <w:tc>
          <w:tcPr>
            <w:tcW w:w="3740" w:type="pct"/>
            <w:noWrap w:val="0"/>
            <w:tcMar>
              <w:top w:w="0" w:type="dxa"/>
              <w:left w:w="57" w:type="dxa"/>
              <w:bottom w:w="0" w:type="dxa"/>
              <w:right w:w="57" w:type="dxa"/>
            </w:tcMar>
            <w:vAlign w:val="center"/>
          </w:tcPr>
          <w:p w14:paraId="7AB96407">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环境空气二</w:t>
            </w:r>
            <w:r>
              <w:rPr>
                <w:rFonts w:cs="Times New Roman"/>
                <w:sz w:val="21"/>
                <w:szCs w:val="21"/>
              </w:rPr>
              <w:t>类功能区（特定化工园区）/V类水体或污</w:t>
            </w:r>
            <w:r>
              <w:rPr>
                <w:rFonts w:cs="Times New Roman"/>
                <w:spacing w:val="8"/>
                <w:sz w:val="21"/>
                <w:szCs w:val="21"/>
              </w:rPr>
              <w:t>水集中处理设施</w:t>
            </w:r>
          </w:p>
        </w:tc>
        <w:tc>
          <w:tcPr>
            <w:tcW w:w="625" w:type="pct"/>
            <w:noWrap w:val="0"/>
            <w:tcMar>
              <w:top w:w="0" w:type="dxa"/>
              <w:left w:w="57" w:type="dxa"/>
              <w:bottom w:w="0" w:type="dxa"/>
              <w:right w:w="57" w:type="dxa"/>
            </w:tcMar>
            <w:vAlign w:val="center"/>
          </w:tcPr>
          <w:p w14:paraId="653ED07C">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2750C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5" w:type="pct"/>
            <w:vMerge w:val="continue"/>
            <w:noWrap w:val="0"/>
            <w:vAlign w:val="center"/>
          </w:tcPr>
          <w:p w14:paraId="00ACE159">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40" w:type="pct"/>
            <w:noWrap w:val="0"/>
            <w:tcMar>
              <w:top w:w="0" w:type="dxa"/>
              <w:left w:w="57" w:type="dxa"/>
              <w:bottom w:w="0" w:type="dxa"/>
              <w:right w:w="57" w:type="dxa"/>
            </w:tcMar>
            <w:vAlign w:val="center"/>
          </w:tcPr>
          <w:p w14:paraId="6379A663">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环境空气</w:t>
            </w:r>
            <w:r>
              <w:rPr>
                <w:rFonts w:cs="Times New Roman"/>
                <w:sz w:val="21"/>
                <w:szCs w:val="21"/>
              </w:rPr>
              <w:t>二类功能区（工业区）/Ⅳ类水体</w:t>
            </w:r>
          </w:p>
        </w:tc>
        <w:tc>
          <w:tcPr>
            <w:tcW w:w="625" w:type="pct"/>
            <w:noWrap w:val="0"/>
            <w:tcMar>
              <w:top w:w="0" w:type="dxa"/>
              <w:left w:w="57" w:type="dxa"/>
              <w:bottom w:w="0" w:type="dxa"/>
              <w:right w:w="57" w:type="dxa"/>
            </w:tcMar>
            <w:vAlign w:val="center"/>
          </w:tcPr>
          <w:p w14:paraId="1B4808E5">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2</w:t>
            </w:r>
          </w:p>
        </w:tc>
      </w:tr>
      <w:tr w14:paraId="071BE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5" w:type="pct"/>
            <w:vMerge w:val="continue"/>
            <w:noWrap w:val="0"/>
            <w:vAlign w:val="center"/>
          </w:tcPr>
          <w:p w14:paraId="3960F043">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40" w:type="pct"/>
            <w:noWrap w:val="0"/>
            <w:tcMar>
              <w:top w:w="0" w:type="dxa"/>
              <w:left w:w="57" w:type="dxa"/>
              <w:bottom w:w="0" w:type="dxa"/>
              <w:right w:w="57" w:type="dxa"/>
            </w:tcMar>
            <w:vAlign w:val="center"/>
          </w:tcPr>
          <w:p w14:paraId="1A140F9D">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环境空气</w:t>
            </w:r>
            <w:r>
              <w:rPr>
                <w:rFonts w:cs="Times New Roman"/>
                <w:sz w:val="21"/>
                <w:szCs w:val="21"/>
              </w:rPr>
              <w:t>二类功能区（非工业区）/Ⅲ类水体</w:t>
            </w:r>
          </w:p>
        </w:tc>
        <w:tc>
          <w:tcPr>
            <w:tcW w:w="625" w:type="pct"/>
            <w:noWrap w:val="0"/>
            <w:tcMar>
              <w:top w:w="0" w:type="dxa"/>
              <w:left w:w="57" w:type="dxa"/>
              <w:bottom w:w="0" w:type="dxa"/>
              <w:right w:w="57" w:type="dxa"/>
            </w:tcMar>
            <w:vAlign w:val="center"/>
          </w:tcPr>
          <w:p w14:paraId="0D242F04">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2476F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5" w:type="pct"/>
            <w:vMerge w:val="continue"/>
            <w:noWrap w:val="0"/>
            <w:vAlign w:val="center"/>
          </w:tcPr>
          <w:p w14:paraId="237CD7F2">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40" w:type="pct"/>
            <w:noWrap w:val="0"/>
            <w:tcMar>
              <w:top w:w="0" w:type="dxa"/>
              <w:left w:w="57" w:type="dxa"/>
              <w:bottom w:w="0" w:type="dxa"/>
              <w:right w:w="57" w:type="dxa"/>
            </w:tcMar>
            <w:vAlign w:val="center"/>
          </w:tcPr>
          <w:p w14:paraId="31B2B5DD">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环境空气</w:t>
            </w:r>
            <w:r>
              <w:rPr>
                <w:rFonts w:cs="Times New Roman"/>
                <w:sz w:val="21"/>
                <w:szCs w:val="21"/>
              </w:rPr>
              <w:t>二类功能区（居住区）/I、Ⅱ类水体</w:t>
            </w:r>
          </w:p>
        </w:tc>
        <w:tc>
          <w:tcPr>
            <w:tcW w:w="625" w:type="pct"/>
            <w:noWrap w:val="0"/>
            <w:tcMar>
              <w:top w:w="0" w:type="dxa"/>
              <w:left w:w="57" w:type="dxa"/>
              <w:bottom w:w="0" w:type="dxa"/>
              <w:right w:w="57" w:type="dxa"/>
            </w:tcMar>
            <w:vAlign w:val="center"/>
          </w:tcPr>
          <w:p w14:paraId="1FFB174B">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pacing w:val="1"/>
                <w:sz w:val="21"/>
                <w:szCs w:val="21"/>
              </w:rPr>
              <w:t>4</w:t>
            </w:r>
          </w:p>
        </w:tc>
      </w:tr>
      <w:tr w14:paraId="6F674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5" w:type="pct"/>
            <w:vMerge w:val="continue"/>
            <w:noWrap w:val="0"/>
            <w:vAlign w:val="center"/>
          </w:tcPr>
          <w:p w14:paraId="07EDE250">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40" w:type="pct"/>
            <w:noWrap w:val="0"/>
            <w:tcMar>
              <w:top w:w="0" w:type="dxa"/>
              <w:left w:w="57" w:type="dxa"/>
              <w:bottom w:w="0" w:type="dxa"/>
              <w:right w:w="57" w:type="dxa"/>
            </w:tcMar>
            <w:vAlign w:val="center"/>
          </w:tcPr>
          <w:p w14:paraId="22B45DA7">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环境空气</w:t>
            </w:r>
            <w:r>
              <w:rPr>
                <w:rFonts w:cs="Times New Roman"/>
                <w:sz w:val="21"/>
                <w:szCs w:val="21"/>
              </w:rPr>
              <w:t>一类功能区/饮用水水源地</w:t>
            </w:r>
          </w:p>
        </w:tc>
        <w:tc>
          <w:tcPr>
            <w:tcW w:w="625" w:type="pct"/>
            <w:noWrap w:val="0"/>
            <w:tcMar>
              <w:top w:w="0" w:type="dxa"/>
              <w:left w:w="57" w:type="dxa"/>
              <w:bottom w:w="0" w:type="dxa"/>
              <w:right w:w="57" w:type="dxa"/>
            </w:tcMar>
            <w:vAlign w:val="center"/>
          </w:tcPr>
          <w:p w14:paraId="40605284">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541B2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5" w:type="pct"/>
            <w:vMerge w:val="restart"/>
            <w:noWrap w:val="0"/>
            <w:vAlign w:val="center"/>
          </w:tcPr>
          <w:p w14:paraId="4642527F">
            <w:pPr>
              <w:spacing w:before="20" w:after="20" w:line="300" w:lineRule="auto"/>
              <w:jc w:val="center"/>
              <w:rPr>
                <w:rFonts w:hint="eastAsia"/>
                <w:b/>
              </w:rPr>
            </w:pPr>
            <w:r>
              <w:rPr>
                <w:b/>
              </w:rPr>
              <w:t>超过期限</w:t>
            </w:r>
          </w:p>
          <w:p w14:paraId="7E473167">
            <w:pPr>
              <w:spacing w:before="20" w:after="20" w:line="300" w:lineRule="auto"/>
              <w:jc w:val="center"/>
              <w:rPr>
                <w:rFonts w:hint="eastAsia"/>
                <w:b/>
              </w:rPr>
            </w:pPr>
            <w:r>
              <w:rPr>
                <w:b/>
              </w:rPr>
              <w:t>拆除时间</w:t>
            </w:r>
          </w:p>
        </w:tc>
        <w:tc>
          <w:tcPr>
            <w:tcW w:w="3740" w:type="pct"/>
            <w:noWrap w:val="0"/>
            <w:tcMar>
              <w:top w:w="0" w:type="dxa"/>
              <w:left w:w="57" w:type="dxa"/>
              <w:bottom w:w="0" w:type="dxa"/>
              <w:right w:w="57" w:type="dxa"/>
            </w:tcMar>
            <w:vAlign w:val="center"/>
          </w:tcPr>
          <w:p w14:paraId="07669EFD">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未逾期</w:t>
            </w:r>
          </w:p>
        </w:tc>
        <w:tc>
          <w:tcPr>
            <w:tcW w:w="625" w:type="pct"/>
            <w:noWrap w:val="0"/>
            <w:tcMar>
              <w:top w:w="0" w:type="dxa"/>
              <w:left w:w="57" w:type="dxa"/>
              <w:bottom w:w="0" w:type="dxa"/>
              <w:right w:w="57" w:type="dxa"/>
            </w:tcMar>
            <w:vAlign w:val="center"/>
          </w:tcPr>
          <w:p w14:paraId="1A2F1C5B">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72721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5" w:type="pct"/>
            <w:vMerge w:val="continue"/>
            <w:noWrap w:val="0"/>
            <w:vAlign w:val="center"/>
          </w:tcPr>
          <w:p w14:paraId="2F2F3E7F">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40" w:type="pct"/>
            <w:noWrap w:val="0"/>
            <w:tcMar>
              <w:top w:w="0" w:type="dxa"/>
              <w:left w:w="57" w:type="dxa"/>
              <w:bottom w:w="0" w:type="dxa"/>
              <w:right w:w="57" w:type="dxa"/>
            </w:tcMar>
            <w:vAlign w:val="center"/>
          </w:tcPr>
          <w:p w14:paraId="75687DC5">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pacing w:val="7"/>
                <w:sz w:val="21"/>
                <w:szCs w:val="21"/>
              </w:rPr>
              <w:t>不足</w:t>
            </w:r>
            <w:r>
              <w:rPr>
                <w:rFonts w:cs="Times New Roman"/>
                <w:sz w:val="21"/>
                <w:szCs w:val="21"/>
              </w:rPr>
              <w:t>10天</w:t>
            </w:r>
          </w:p>
        </w:tc>
        <w:tc>
          <w:tcPr>
            <w:tcW w:w="625" w:type="pct"/>
            <w:noWrap w:val="0"/>
            <w:tcMar>
              <w:top w:w="0" w:type="dxa"/>
              <w:left w:w="57" w:type="dxa"/>
              <w:bottom w:w="0" w:type="dxa"/>
              <w:right w:w="57" w:type="dxa"/>
            </w:tcMar>
            <w:vAlign w:val="center"/>
          </w:tcPr>
          <w:p w14:paraId="643D7D1E">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2</w:t>
            </w:r>
          </w:p>
        </w:tc>
      </w:tr>
      <w:tr w14:paraId="48D96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5" w:type="pct"/>
            <w:vMerge w:val="continue"/>
            <w:noWrap w:val="0"/>
            <w:vAlign w:val="center"/>
          </w:tcPr>
          <w:p w14:paraId="5C08E1E5">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40" w:type="pct"/>
            <w:noWrap w:val="0"/>
            <w:tcMar>
              <w:top w:w="0" w:type="dxa"/>
              <w:left w:w="57" w:type="dxa"/>
              <w:bottom w:w="0" w:type="dxa"/>
              <w:right w:w="57" w:type="dxa"/>
            </w:tcMar>
            <w:vAlign w:val="center"/>
          </w:tcPr>
          <w:p w14:paraId="77486F20">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10天以上</w:t>
            </w:r>
            <w:r>
              <w:rPr>
                <w:rFonts w:hint="eastAsia" w:cs="Times New Roman"/>
                <w:spacing w:val="7"/>
                <w:sz w:val="21"/>
                <w:szCs w:val="21"/>
              </w:rPr>
              <w:t>不足</w:t>
            </w:r>
            <w:r>
              <w:rPr>
                <w:rFonts w:cs="Times New Roman"/>
                <w:sz w:val="21"/>
                <w:szCs w:val="21"/>
              </w:rPr>
              <w:t>20天</w:t>
            </w:r>
          </w:p>
        </w:tc>
        <w:tc>
          <w:tcPr>
            <w:tcW w:w="625" w:type="pct"/>
            <w:noWrap w:val="0"/>
            <w:tcMar>
              <w:top w:w="0" w:type="dxa"/>
              <w:left w:w="57" w:type="dxa"/>
              <w:bottom w:w="0" w:type="dxa"/>
              <w:right w:w="57" w:type="dxa"/>
            </w:tcMar>
            <w:vAlign w:val="center"/>
          </w:tcPr>
          <w:p w14:paraId="6C75D820">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68F44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5" w:type="pct"/>
            <w:vMerge w:val="continue"/>
            <w:noWrap w:val="0"/>
            <w:vAlign w:val="center"/>
          </w:tcPr>
          <w:p w14:paraId="4AFA9305">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40" w:type="pct"/>
            <w:noWrap w:val="0"/>
            <w:tcMar>
              <w:top w:w="0" w:type="dxa"/>
              <w:left w:w="57" w:type="dxa"/>
              <w:bottom w:w="0" w:type="dxa"/>
              <w:right w:w="57" w:type="dxa"/>
            </w:tcMar>
            <w:vAlign w:val="center"/>
          </w:tcPr>
          <w:p w14:paraId="7553874D">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20天以上</w:t>
            </w:r>
            <w:r>
              <w:rPr>
                <w:rFonts w:hint="eastAsia" w:cs="Times New Roman"/>
                <w:spacing w:val="7"/>
                <w:sz w:val="21"/>
                <w:szCs w:val="21"/>
              </w:rPr>
              <w:t>不足</w:t>
            </w:r>
            <w:r>
              <w:rPr>
                <w:rFonts w:cs="Times New Roman"/>
                <w:sz w:val="21"/>
                <w:szCs w:val="21"/>
              </w:rPr>
              <w:t>1个月</w:t>
            </w:r>
          </w:p>
        </w:tc>
        <w:tc>
          <w:tcPr>
            <w:tcW w:w="625" w:type="pct"/>
            <w:noWrap w:val="0"/>
            <w:tcMar>
              <w:top w:w="0" w:type="dxa"/>
              <w:left w:w="57" w:type="dxa"/>
              <w:bottom w:w="0" w:type="dxa"/>
              <w:right w:w="57" w:type="dxa"/>
            </w:tcMar>
            <w:vAlign w:val="center"/>
          </w:tcPr>
          <w:p w14:paraId="1B621F4B">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pacing w:val="1"/>
                <w:sz w:val="21"/>
                <w:szCs w:val="21"/>
              </w:rPr>
              <w:t>4</w:t>
            </w:r>
          </w:p>
        </w:tc>
      </w:tr>
      <w:tr w14:paraId="74852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5" w:type="pct"/>
            <w:vMerge w:val="continue"/>
            <w:noWrap w:val="0"/>
            <w:vAlign w:val="center"/>
          </w:tcPr>
          <w:p w14:paraId="58F31B27">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40" w:type="pct"/>
            <w:noWrap w:val="0"/>
            <w:tcMar>
              <w:top w:w="0" w:type="dxa"/>
              <w:left w:w="57" w:type="dxa"/>
              <w:bottom w:w="0" w:type="dxa"/>
              <w:right w:w="57" w:type="dxa"/>
            </w:tcMar>
            <w:vAlign w:val="center"/>
          </w:tcPr>
          <w:p w14:paraId="224DCE51">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1个月以上</w:t>
            </w:r>
          </w:p>
        </w:tc>
        <w:tc>
          <w:tcPr>
            <w:tcW w:w="625" w:type="pct"/>
            <w:noWrap w:val="0"/>
            <w:tcMar>
              <w:top w:w="0" w:type="dxa"/>
              <w:left w:w="57" w:type="dxa"/>
              <w:bottom w:w="0" w:type="dxa"/>
              <w:right w:w="57" w:type="dxa"/>
            </w:tcMar>
            <w:vAlign w:val="center"/>
          </w:tcPr>
          <w:p w14:paraId="1B398C92">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bl>
    <w:p w14:paraId="7BE875D9">
      <w:pPr>
        <w:spacing w:after="120" w:afterLines="50" w:line="480" w:lineRule="exact"/>
        <w:rPr>
          <w:rFonts w:ascii="Times New Roman" w:hAnsi="Times New Roman" w:eastAsia="黑体"/>
          <w:sz w:val="28"/>
          <w:szCs w:val="28"/>
        </w:rPr>
      </w:pPr>
      <w:r>
        <w:rPr>
          <w:rFonts w:ascii="Times New Roman" w:hAnsi="Times New Roman" w:eastAsia="黑体"/>
          <w:sz w:val="28"/>
          <w:szCs w:val="28"/>
        </w:rPr>
        <w:t>（</w:t>
      </w:r>
      <w:r>
        <w:rPr>
          <w:rFonts w:hint="eastAsia" w:ascii="Times New Roman" w:hAnsi="Times New Roman" w:eastAsia="黑体"/>
          <w:sz w:val="28"/>
          <w:szCs w:val="28"/>
        </w:rPr>
        <w:t>四</w:t>
      </w:r>
      <w:r>
        <w:rPr>
          <w:rFonts w:ascii="Times New Roman" w:hAnsi="Times New Roman" w:eastAsia="黑体"/>
          <w:sz w:val="28"/>
          <w:szCs w:val="28"/>
        </w:rPr>
        <w:t>）违反大气污染防治管理制度的行为</w:t>
      </w:r>
    </w:p>
    <w:p w14:paraId="442CE11A">
      <w:pPr>
        <w:spacing w:before="40" w:after="40" w:line="400" w:lineRule="auto"/>
        <w:jc w:val="both"/>
        <w:rPr>
          <w:rFonts w:ascii="Times New Roman" w:hAnsi="Times New Roman" w:eastAsia="黑体"/>
          <w:b/>
          <w:sz w:val="24"/>
        </w:rPr>
      </w:pPr>
      <w:r>
        <w:rPr>
          <w:rFonts w:hint="eastAsia" w:ascii="Times New Roman" w:hAnsi="Times New Roman" w:eastAsia="黑体"/>
          <w:b/>
          <w:sz w:val="24"/>
        </w:rPr>
        <w:t>1</w:t>
      </w:r>
      <w:r>
        <w:rPr>
          <w:rFonts w:ascii="Times New Roman" w:hAnsi="Times New Roman" w:eastAsia="黑体"/>
          <w:b/>
          <w:sz w:val="24"/>
        </w:rPr>
        <w:t>.在禁燃区内新建、扩建燃用高污染燃料的设施，或者未按照规定停止燃用高污染燃料的行为</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38"/>
        <w:gridCol w:w="6903"/>
        <w:gridCol w:w="1099"/>
      </w:tblGrid>
      <w:tr w14:paraId="3630F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4" w:hRule="atLeast"/>
          <w:jc w:val="center"/>
        </w:trPr>
        <w:tc>
          <w:tcPr>
            <w:tcW w:w="623" w:type="pct"/>
            <w:noWrap w:val="0"/>
            <w:tcMar>
              <w:top w:w="0" w:type="dxa"/>
              <w:left w:w="57" w:type="dxa"/>
              <w:bottom w:w="0" w:type="dxa"/>
              <w:right w:w="57" w:type="dxa"/>
            </w:tcMar>
            <w:vAlign w:val="center"/>
          </w:tcPr>
          <w:p w14:paraId="5FF12984">
            <w:pPr>
              <w:spacing w:before="20" w:after="20" w:line="300" w:lineRule="auto"/>
              <w:jc w:val="center"/>
              <w:rPr>
                <w:rFonts w:hint="eastAsia"/>
                <w:b/>
              </w:rPr>
            </w:pPr>
            <w:r>
              <w:rPr>
                <w:b/>
              </w:rPr>
              <w:t>违反条款</w:t>
            </w:r>
          </w:p>
        </w:tc>
        <w:tc>
          <w:tcPr>
            <w:tcW w:w="4377" w:type="pct"/>
            <w:gridSpan w:val="2"/>
            <w:noWrap w:val="0"/>
            <w:tcMar>
              <w:top w:w="0" w:type="dxa"/>
              <w:left w:w="57" w:type="dxa"/>
              <w:bottom w:w="0" w:type="dxa"/>
              <w:right w:w="57" w:type="dxa"/>
            </w:tcMar>
            <w:vAlign w:val="center"/>
          </w:tcPr>
          <w:p w14:paraId="7929A02F">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1.《中华人民共和国生态环境法典》第二百零七条 设区的市级以上地方人民政府可以划定并公布高污染燃料禁燃区，并根据大气环境质量改善要求，逐步扩大高污染燃料禁燃区范围。高污染燃料的目录由国务院生态环境主管部门确定。</w:t>
            </w:r>
          </w:p>
          <w:p w14:paraId="12552ECD">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在禁燃区内，禁止销售、燃用高污染燃料；禁止新建、扩建燃用高污染燃料的设施，已建成的，应当在设区的市级以上地方人民政府规定的期限内改用天然气、页岩气、液化石油气、电或者其他清洁低碳能源。</w:t>
            </w:r>
          </w:p>
          <w:p w14:paraId="43DB52A0">
            <w:pPr>
              <w:pStyle w:val="20"/>
              <w:autoSpaceDE w:val="0"/>
              <w:autoSpaceDN w:val="0"/>
              <w:adjustRightInd w:val="0"/>
              <w:snapToGrid w:val="0"/>
              <w:spacing w:before="20" w:after="20" w:line="300" w:lineRule="auto"/>
              <w:ind w:right="110"/>
              <w:textAlignment w:val="baseline"/>
              <w:rPr>
                <w:rFonts w:hint="eastAsia" w:cs="Times New Roman"/>
                <w:b/>
                <w:bCs/>
                <w:sz w:val="21"/>
                <w:szCs w:val="21"/>
              </w:rPr>
            </w:pPr>
            <w:r>
              <w:rPr>
                <w:rFonts w:hint="eastAsia" w:cs="Times New Roman"/>
                <w:b/>
                <w:bCs/>
                <w:color w:val="auto"/>
                <w:sz w:val="21"/>
                <w:szCs w:val="21"/>
              </w:rPr>
              <w:t>2.《昆明市大气污染防治条例》</w:t>
            </w:r>
            <w:r>
              <w:rPr>
                <w:rFonts w:cs="Times New Roman"/>
                <w:b/>
                <w:bCs/>
                <w:color w:val="auto"/>
                <w:sz w:val="21"/>
                <w:szCs w:val="21"/>
              </w:rPr>
              <w:t>（2026修订版）</w:t>
            </w:r>
            <w:r>
              <w:rPr>
                <w:rFonts w:hint="eastAsia" w:cs="Times New Roman"/>
                <w:b/>
                <w:bCs/>
                <w:color w:val="auto"/>
                <w:sz w:val="21"/>
                <w:szCs w:val="21"/>
              </w:rPr>
              <w:t>第二十五条第二款 在禁燃区内，禁止销售、燃用高污染燃料；禁止新建、扩建燃用高污染燃料的设施，已建成的，应当在规定的期限内改用天然气、液化石油气、电或者其他清洁能源。</w:t>
            </w:r>
          </w:p>
        </w:tc>
      </w:tr>
      <w:tr w14:paraId="5175A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2" w:hRule="atLeast"/>
          <w:jc w:val="center"/>
        </w:trPr>
        <w:tc>
          <w:tcPr>
            <w:tcW w:w="623" w:type="pct"/>
            <w:noWrap w:val="0"/>
            <w:tcMar>
              <w:top w:w="0" w:type="dxa"/>
              <w:left w:w="57" w:type="dxa"/>
              <w:bottom w:w="0" w:type="dxa"/>
              <w:right w:w="57" w:type="dxa"/>
            </w:tcMar>
            <w:vAlign w:val="center"/>
          </w:tcPr>
          <w:p w14:paraId="5DA62C7C">
            <w:pPr>
              <w:spacing w:before="20" w:after="20" w:line="300" w:lineRule="auto"/>
              <w:jc w:val="center"/>
              <w:rPr>
                <w:rFonts w:hint="eastAsia"/>
                <w:b/>
              </w:rPr>
            </w:pPr>
            <w:r>
              <w:rPr>
                <w:b/>
              </w:rPr>
              <w:t>处罚依据</w:t>
            </w:r>
          </w:p>
        </w:tc>
        <w:tc>
          <w:tcPr>
            <w:tcW w:w="4377" w:type="pct"/>
            <w:gridSpan w:val="2"/>
            <w:noWrap w:val="0"/>
            <w:tcMar>
              <w:top w:w="0" w:type="dxa"/>
              <w:left w:w="57" w:type="dxa"/>
              <w:bottom w:w="0" w:type="dxa"/>
              <w:right w:w="57" w:type="dxa"/>
            </w:tcMar>
            <w:vAlign w:val="center"/>
          </w:tcPr>
          <w:p w14:paraId="56BACD07">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1.《中华人民共和国生态环境法典》第一千一百一十九条第一款第一项、第二项 违反本法规定，有下列情形之一的，由生态环境主管部门没收燃用高污染燃料的设施、燃煤供热锅炉并组织拆除，处二万元以上二十万元以下的罚款：</w:t>
            </w:r>
          </w:p>
          <w:p w14:paraId="3ED8D590">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（一）在禁燃区内新建、扩建燃用高污染燃料的设施；</w:t>
            </w:r>
          </w:p>
          <w:p w14:paraId="29521C72">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（二）在禁燃区内未停止燃用高污染燃料。</w:t>
            </w:r>
          </w:p>
          <w:p w14:paraId="736245A2">
            <w:pPr>
              <w:pStyle w:val="20"/>
              <w:autoSpaceDE w:val="0"/>
              <w:autoSpaceDN w:val="0"/>
              <w:adjustRightInd w:val="0"/>
              <w:snapToGrid w:val="0"/>
              <w:spacing w:before="20" w:after="20" w:line="300" w:lineRule="auto"/>
              <w:ind w:right="110"/>
              <w:textAlignment w:val="baseline"/>
              <w:rPr>
                <w:rFonts w:hint="eastAsia" w:cs="Times New Roman"/>
                <w:sz w:val="21"/>
                <w:szCs w:val="21"/>
              </w:rPr>
            </w:pPr>
          </w:p>
        </w:tc>
      </w:tr>
      <w:tr w14:paraId="4F107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3" w:type="pct"/>
            <w:noWrap w:val="0"/>
            <w:tcMar>
              <w:top w:w="0" w:type="dxa"/>
              <w:left w:w="57" w:type="dxa"/>
              <w:bottom w:w="0" w:type="dxa"/>
              <w:right w:w="57" w:type="dxa"/>
            </w:tcMar>
            <w:vAlign w:val="center"/>
          </w:tcPr>
          <w:p w14:paraId="4FA5D154">
            <w:pPr>
              <w:spacing w:before="20" w:after="20" w:line="300" w:lineRule="auto"/>
              <w:jc w:val="center"/>
              <w:rPr>
                <w:rFonts w:hint="eastAsia"/>
                <w:b/>
              </w:rPr>
            </w:pPr>
            <w:r>
              <w:rPr>
                <w:b/>
              </w:rPr>
              <w:t>裁量因素</w:t>
            </w:r>
          </w:p>
        </w:tc>
        <w:tc>
          <w:tcPr>
            <w:tcW w:w="3776" w:type="pct"/>
            <w:noWrap w:val="0"/>
            <w:tcMar>
              <w:top w:w="0" w:type="dxa"/>
              <w:left w:w="57" w:type="dxa"/>
              <w:bottom w:w="0" w:type="dxa"/>
              <w:right w:w="57" w:type="dxa"/>
            </w:tcMar>
            <w:vAlign w:val="center"/>
          </w:tcPr>
          <w:p w14:paraId="57BFCF52">
            <w:pPr>
              <w:spacing w:before="20" w:after="20" w:line="300" w:lineRule="auto"/>
              <w:jc w:val="center"/>
              <w:rPr>
                <w:rFonts w:hint="eastAsia"/>
                <w:b/>
              </w:rPr>
            </w:pPr>
            <w:r>
              <w:rPr>
                <w:b/>
              </w:rPr>
              <w:t>裁量因子</w:t>
            </w:r>
          </w:p>
        </w:tc>
        <w:tc>
          <w:tcPr>
            <w:tcW w:w="601" w:type="pct"/>
            <w:noWrap w:val="0"/>
            <w:tcMar>
              <w:top w:w="0" w:type="dxa"/>
              <w:left w:w="57" w:type="dxa"/>
              <w:bottom w:w="0" w:type="dxa"/>
              <w:right w:w="57" w:type="dxa"/>
            </w:tcMar>
            <w:vAlign w:val="center"/>
          </w:tcPr>
          <w:p w14:paraId="7F812173">
            <w:pPr>
              <w:spacing w:before="20" w:after="20" w:line="300" w:lineRule="auto"/>
              <w:jc w:val="center"/>
              <w:rPr>
                <w:rFonts w:hint="eastAsia"/>
                <w:b/>
              </w:rPr>
            </w:pPr>
            <w:r>
              <w:rPr>
                <w:b/>
              </w:rPr>
              <w:t>裁量等级</w:t>
            </w:r>
          </w:p>
        </w:tc>
      </w:tr>
      <w:tr w14:paraId="0F657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3" w:type="pct"/>
            <w:vMerge w:val="restart"/>
            <w:noWrap w:val="0"/>
            <w:tcMar>
              <w:top w:w="0" w:type="dxa"/>
              <w:left w:w="57" w:type="dxa"/>
              <w:bottom w:w="0" w:type="dxa"/>
              <w:right w:w="57" w:type="dxa"/>
            </w:tcMar>
            <w:vAlign w:val="center"/>
          </w:tcPr>
          <w:p w14:paraId="10DB16EC">
            <w:pPr>
              <w:spacing w:before="20" w:after="20" w:line="300" w:lineRule="auto"/>
              <w:jc w:val="center"/>
              <w:rPr>
                <w:rFonts w:hint="eastAsia"/>
                <w:b/>
              </w:rPr>
            </w:pPr>
            <w:r>
              <w:rPr>
                <w:b/>
              </w:rPr>
              <w:t>违法事实</w:t>
            </w:r>
          </w:p>
        </w:tc>
        <w:tc>
          <w:tcPr>
            <w:tcW w:w="3776" w:type="pct"/>
            <w:noWrap w:val="0"/>
            <w:tcMar>
              <w:top w:w="0" w:type="dxa"/>
              <w:left w:w="57" w:type="dxa"/>
              <w:bottom w:w="0" w:type="dxa"/>
              <w:right w:w="57" w:type="dxa"/>
            </w:tcMar>
            <w:vAlign w:val="center"/>
          </w:tcPr>
          <w:p w14:paraId="711ECC75">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燃用高污染燃料的设施已开工建设</w:t>
            </w:r>
            <w:r>
              <w:rPr>
                <w:rFonts w:hint="eastAsia" w:cs="Times New Roman"/>
                <w:sz w:val="21"/>
                <w:szCs w:val="21"/>
              </w:rPr>
              <w:t>，</w:t>
            </w:r>
            <w:r>
              <w:rPr>
                <w:rFonts w:cs="Times New Roman"/>
                <w:sz w:val="21"/>
                <w:szCs w:val="21"/>
              </w:rPr>
              <w:t>但未建成</w:t>
            </w:r>
          </w:p>
        </w:tc>
        <w:tc>
          <w:tcPr>
            <w:tcW w:w="601" w:type="pct"/>
            <w:noWrap w:val="0"/>
            <w:tcMar>
              <w:top w:w="0" w:type="dxa"/>
              <w:left w:w="57" w:type="dxa"/>
              <w:bottom w:w="0" w:type="dxa"/>
              <w:right w:w="57" w:type="dxa"/>
            </w:tcMar>
            <w:vAlign w:val="center"/>
          </w:tcPr>
          <w:p w14:paraId="5C896AA7">
            <w:pPr>
              <w:overflowPunct w:val="0"/>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5F732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3" w:type="pct"/>
            <w:vMerge w:val="continue"/>
            <w:noWrap w:val="0"/>
            <w:tcMar>
              <w:top w:w="0" w:type="dxa"/>
              <w:left w:w="57" w:type="dxa"/>
              <w:bottom w:w="0" w:type="dxa"/>
              <w:right w:w="57" w:type="dxa"/>
            </w:tcMar>
            <w:vAlign w:val="center"/>
          </w:tcPr>
          <w:p w14:paraId="046B21BD">
            <w:pPr>
              <w:overflowPunct w:val="0"/>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76" w:type="pct"/>
            <w:noWrap w:val="0"/>
            <w:tcMar>
              <w:top w:w="0" w:type="dxa"/>
              <w:left w:w="57" w:type="dxa"/>
              <w:bottom w:w="0" w:type="dxa"/>
              <w:right w:w="57" w:type="dxa"/>
            </w:tcMar>
            <w:vAlign w:val="center"/>
          </w:tcPr>
          <w:p w14:paraId="278F1DE5">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燃用高污染燃料的设施已建成</w:t>
            </w:r>
            <w:r>
              <w:rPr>
                <w:rFonts w:hint="eastAsia" w:cs="Times New Roman"/>
                <w:sz w:val="21"/>
                <w:szCs w:val="21"/>
              </w:rPr>
              <w:t>，</w:t>
            </w:r>
            <w:r>
              <w:rPr>
                <w:rFonts w:cs="Times New Roman"/>
                <w:sz w:val="21"/>
                <w:szCs w:val="21"/>
              </w:rPr>
              <w:t>但未使用</w:t>
            </w:r>
          </w:p>
        </w:tc>
        <w:tc>
          <w:tcPr>
            <w:tcW w:w="601" w:type="pct"/>
            <w:noWrap w:val="0"/>
            <w:tcMar>
              <w:top w:w="0" w:type="dxa"/>
              <w:left w:w="57" w:type="dxa"/>
              <w:bottom w:w="0" w:type="dxa"/>
              <w:right w:w="57" w:type="dxa"/>
            </w:tcMar>
            <w:vAlign w:val="center"/>
          </w:tcPr>
          <w:p w14:paraId="6829D1AF">
            <w:pPr>
              <w:overflowPunct w:val="0"/>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282B7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3" w:type="pct"/>
            <w:vMerge w:val="continue"/>
            <w:noWrap w:val="0"/>
            <w:tcMar>
              <w:top w:w="0" w:type="dxa"/>
              <w:left w:w="57" w:type="dxa"/>
              <w:bottom w:w="0" w:type="dxa"/>
              <w:right w:w="57" w:type="dxa"/>
            </w:tcMar>
            <w:vAlign w:val="center"/>
          </w:tcPr>
          <w:p w14:paraId="04D324E8">
            <w:pPr>
              <w:overflowPunct w:val="0"/>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76" w:type="pct"/>
            <w:noWrap w:val="0"/>
            <w:tcMar>
              <w:top w:w="0" w:type="dxa"/>
              <w:left w:w="57" w:type="dxa"/>
              <w:bottom w:w="0" w:type="dxa"/>
              <w:right w:w="57" w:type="dxa"/>
            </w:tcMar>
            <w:vAlign w:val="center"/>
          </w:tcPr>
          <w:p w14:paraId="56BA0F01">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燃用高污染燃料的设施已建成使用，或未及时自行拆除，或造成严重后果</w:t>
            </w:r>
          </w:p>
        </w:tc>
        <w:tc>
          <w:tcPr>
            <w:tcW w:w="601" w:type="pct"/>
            <w:noWrap w:val="0"/>
            <w:tcMar>
              <w:top w:w="0" w:type="dxa"/>
              <w:left w:w="57" w:type="dxa"/>
              <w:bottom w:w="0" w:type="dxa"/>
              <w:right w:w="57" w:type="dxa"/>
            </w:tcMar>
            <w:vAlign w:val="center"/>
          </w:tcPr>
          <w:p w14:paraId="66566E72">
            <w:pPr>
              <w:overflowPunct w:val="0"/>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3E103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3" w:type="pct"/>
            <w:vMerge w:val="restart"/>
            <w:noWrap w:val="0"/>
            <w:tcMar>
              <w:top w:w="0" w:type="dxa"/>
              <w:left w:w="57" w:type="dxa"/>
              <w:bottom w:w="0" w:type="dxa"/>
              <w:right w:w="57" w:type="dxa"/>
            </w:tcMar>
            <w:vAlign w:val="center"/>
          </w:tcPr>
          <w:p w14:paraId="14E8DA02">
            <w:pPr>
              <w:spacing w:before="20" w:after="20" w:line="300" w:lineRule="auto"/>
              <w:jc w:val="center"/>
              <w:rPr>
                <w:rFonts w:hint="eastAsia"/>
                <w:b/>
              </w:rPr>
            </w:pPr>
            <w:r>
              <w:rPr>
                <w:b/>
              </w:rPr>
              <w:t>污染防治</w:t>
            </w:r>
          </w:p>
          <w:p w14:paraId="1991BEAA">
            <w:pPr>
              <w:spacing w:before="20" w:after="20" w:line="300" w:lineRule="auto"/>
              <w:jc w:val="center"/>
              <w:rPr>
                <w:rFonts w:hint="eastAsia"/>
                <w:b/>
              </w:rPr>
            </w:pPr>
            <w:r>
              <w:rPr>
                <w:b/>
              </w:rPr>
              <w:t>措施</w:t>
            </w:r>
          </w:p>
        </w:tc>
        <w:tc>
          <w:tcPr>
            <w:tcW w:w="3776" w:type="pct"/>
            <w:noWrap w:val="0"/>
            <w:tcMar>
              <w:top w:w="0" w:type="dxa"/>
              <w:left w:w="57" w:type="dxa"/>
              <w:bottom w:w="0" w:type="dxa"/>
              <w:right w:w="57" w:type="dxa"/>
            </w:tcMar>
            <w:vAlign w:val="center"/>
          </w:tcPr>
          <w:p w14:paraId="57BB2BBC">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已安装并规范使用污染防治设施</w:t>
            </w:r>
          </w:p>
        </w:tc>
        <w:tc>
          <w:tcPr>
            <w:tcW w:w="601" w:type="pct"/>
            <w:noWrap w:val="0"/>
            <w:tcMar>
              <w:top w:w="0" w:type="dxa"/>
              <w:left w:w="57" w:type="dxa"/>
              <w:bottom w:w="0" w:type="dxa"/>
              <w:right w:w="57" w:type="dxa"/>
            </w:tcMar>
            <w:vAlign w:val="center"/>
          </w:tcPr>
          <w:p w14:paraId="47EC5B66">
            <w:pPr>
              <w:overflowPunct w:val="0"/>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217D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3" w:type="pct"/>
            <w:vMerge w:val="continue"/>
            <w:noWrap w:val="0"/>
            <w:tcMar>
              <w:top w:w="0" w:type="dxa"/>
              <w:left w:w="57" w:type="dxa"/>
              <w:bottom w:w="0" w:type="dxa"/>
              <w:right w:w="57" w:type="dxa"/>
            </w:tcMar>
            <w:vAlign w:val="center"/>
          </w:tcPr>
          <w:p w14:paraId="66F444EE">
            <w:pPr>
              <w:overflowPunct w:val="0"/>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76" w:type="pct"/>
            <w:noWrap w:val="0"/>
            <w:tcMar>
              <w:top w:w="0" w:type="dxa"/>
              <w:left w:w="57" w:type="dxa"/>
              <w:bottom w:w="0" w:type="dxa"/>
              <w:right w:w="57" w:type="dxa"/>
            </w:tcMar>
            <w:vAlign w:val="center"/>
          </w:tcPr>
          <w:p w14:paraId="4B905979">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已安装但未规范使用污染防治设施</w:t>
            </w:r>
          </w:p>
        </w:tc>
        <w:tc>
          <w:tcPr>
            <w:tcW w:w="601" w:type="pct"/>
            <w:noWrap w:val="0"/>
            <w:tcMar>
              <w:top w:w="0" w:type="dxa"/>
              <w:left w:w="57" w:type="dxa"/>
              <w:bottom w:w="0" w:type="dxa"/>
              <w:right w:w="57" w:type="dxa"/>
            </w:tcMar>
            <w:vAlign w:val="center"/>
          </w:tcPr>
          <w:p w14:paraId="7BF1FAC1">
            <w:pPr>
              <w:overflowPunct w:val="0"/>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00B83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3" w:type="pct"/>
            <w:vMerge w:val="continue"/>
            <w:noWrap w:val="0"/>
            <w:tcMar>
              <w:top w:w="0" w:type="dxa"/>
              <w:left w:w="57" w:type="dxa"/>
              <w:bottom w:w="0" w:type="dxa"/>
              <w:right w:w="57" w:type="dxa"/>
            </w:tcMar>
            <w:vAlign w:val="center"/>
          </w:tcPr>
          <w:p w14:paraId="6939770F">
            <w:pPr>
              <w:overflowPunct w:val="0"/>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76" w:type="pct"/>
            <w:noWrap w:val="0"/>
            <w:tcMar>
              <w:top w:w="0" w:type="dxa"/>
              <w:left w:w="57" w:type="dxa"/>
              <w:bottom w:w="0" w:type="dxa"/>
              <w:right w:w="57" w:type="dxa"/>
            </w:tcMar>
            <w:vAlign w:val="center"/>
          </w:tcPr>
          <w:p w14:paraId="152DE1FB">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未安装或未使用污染防治设施</w:t>
            </w:r>
          </w:p>
        </w:tc>
        <w:tc>
          <w:tcPr>
            <w:tcW w:w="601" w:type="pct"/>
            <w:noWrap w:val="0"/>
            <w:tcMar>
              <w:top w:w="0" w:type="dxa"/>
              <w:left w:w="57" w:type="dxa"/>
              <w:bottom w:w="0" w:type="dxa"/>
              <w:right w:w="57" w:type="dxa"/>
            </w:tcMar>
            <w:vAlign w:val="center"/>
          </w:tcPr>
          <w:p w14:paraId="3A3E10C7">
            <w:pPr>
              <w:overflowPunct w:val="0"/>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0F871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3" w:type="pct"/>
            <w:vMerge w:val="restart"/>
            <w:noWrap w:val="0"/>
            <w:tcMar>
              <w:top w:w="0" w:type="dxa"/>
              <w:left w:w="57" w:type="dxa"/>
              <w:bottom w:w="0" w:type="dxa"/>
              <w:right w:w="57" w:type="dxa"/>
            </w:tcMar>
            <w:vAlign w:val="center"/>
          </w:tcPr>
          <w:p w14:paraId="7EAD11A2">
            <w:pPr>
              <w:spacing w:before="20" w:after="20" w:line="300" w:lineRule="auto"/>
              <w:jc w:val="center"/>
              <w:rPr>
                <w:rFonts w:hint="eastAsia"/>
                <w:b/>
              </w:rPr>
            </w:pPr>
            <w:r>
              <w:rPr>
                <w:rFonts w:hint="eastAsia"/>
                <w:b/>
              </w:rPr>
              <w:t>项目地点</w:t>
            </w:r>
          </w:p>
        </w:tc>
        <w:tc>
          <w:tcPr>
            <w:tcW w:w="3776" w:type="pct"/>
            <w:noWrap w:val="0"/>
            <w:tcMar>
              <w:top w:w="0" w:type="dxa"/>
              <w:left w:w="57" w:type="dxa"/>
              <w:bottom w:w="0" w:type="dxa"/>
              <w:right w:w="57" w:type="dxa"/>
            </w:tcMar>
            <w:vAlign w:val="center"/>
          </w:tcPr>
          <w:p w14:paraId="46B17B09">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环境空气二类功能区</w:t>
            </w:r>
          </w:p>
        </w:tc>
        <w:tc>
          <w:tcPr>
            <w:tcW w:w="601" w:type="pct"/>
            <w:noWrap w:val="0"/>
            <w:tcMar>
              <w:top w:w="0" w:type="dxa"/>
              <w:left w:w="57" w:type="dxa"/>
              <w:bottom w:w="0" w:type="dxa"/>
              <w:right w:w="57" w:type="dxa"/>
            </w:tcMar>
            <w:vAlign w:val="center"/>
          </w:tcPr>
          <w:p w14:paraId="24CD1E3F">
            <w:pPr>
              <w:overflowPunct w:val="0"/>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477A7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3" w:type="pct"/>
            <w:vMerge w:val="continue"/>
            <w:noWrap w:val="0"/>
            <w:tcMar>
              <w:top w:w="0" w:type="dxa"/>
              <w:left w:w="57" w:type="dxa"/>
              <w:bottom w:w="0" w:type="dxa"/>
              <w:right w:w="57" w:type="dxa"/>
            </w:tcMar>
            <w:vAlign w:val="center"/>
          </w:tcPr>
          <w:p w14:paraId="7417AA41">
            <w:pPr>
              <w:overflowPunct w:val="0"/>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76" w:type="pct"/>
            <w:noWrap w:val="0"/>
            <w:tcMar>
              <w:top w:w="0" w:type="dxa"/>
              <w:left w:w="57" w:type="dxa"/>
              <w:bottom w:w="0" w:type="dxa"/>
              <w:right w:w="57" w:type="dxa"/>
            </w:tcMar>
            <w:vAlign w:val="center"/>
          </w:tcPr>
          <w:p w14:paraId="471201BA">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环境空气一类功能区</w:t>
            </w:r>
          </w:p>
        </w:tc>
        <w:tc>
          <w:tcPr>
            <w:tcW w:w="601" w:type="pct"/>
            <w:noWrap w:val="0"/>
            <w:tcMar>
              <w:top w:w="0" w:type="dxa"/>
              <w:left w:w="57" w:type="dxa"/>
              <w:bottom w:w="0" w:type="dxa"/>
              <w:right w:w="57" w:type="dxa"/>
            </w:tcMar>
            <w:vAlign w:val="center"/>
          </w:tcPr>
          <w:p w14:paraId="77E4845D">
            <w:pPr>
              <w:overflowPunct w:val="0"/>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bl>
    <w:p w14:paraId="3F9F4EB6">
      <w:pPr>
        <w:spacing w:before="40" w:after="40" w:line="400" w:lineRule="auto"/>
        <w:jc w:val="both"/>
        <w:rPr>
          <w:rFonts w:ascii="Times New Roman" w:hAnsi="Times New Roman" w:eastAsia="黑体"/>
          <w:b/>
          <w:bCs w:val="0"/>
          <w:color w:val="000000"/>
          <w:sz w:val="24"/>
        </w:rPr>
      </w:pPr>
      <w:r>
        <w:rPr>
          <w:rFonts w:ascii="Times New Roman" w:hAnsi="Times New Roman" w:eastAsia="黑体"/>
          <w:b/>
          <w:bCs w:val="0"/>
          <w:color w:val="000000"/>
          <w:sz w:val="24"/>
        </w:rPr>
        <w:t>2.</w:t>
      </w:r>
      <w:r>
        <w:rPr>
          <w:rFonts w:hint="eastAsia"/>
          <w:b/>
          <w:bCs w:val="0"/>
          <w:color w:val="000000"/>
        </w:rPr>
        <w:t xml:space="preserve"> </w:t>
      </w:r>
      <w:r>
        <w:rPr>
          <w:rFonts w:hint="eastAsia" w:ascii="Times New Roman" w:hAnsi="Times New Roman" w:eastAsia="黑体"/>
          <w:b/>
          <w:bCs w:val="0"/>
          <w:color w:val="000000"/>
          <w:sz w:val="24"/>
        </w:rPr>
        <w:t>工业涂装企业等未使用低挥发性有机物含量的原辅材料和产品的行为</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68"/>
        <w:gridCol w:w="6873"/>
        <w:gridCol w:w="1099"/>
      </w:tblGrid>
      <w:tr w14:paraId="7D51C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1" w:hRule="atLeast"/>
          <w:jc w:val="center"/>
        </w:trPr>
        <w:tc>
          <w:tcPr>
            <w:tcW w:w="639" w:type="pct"/>
            <w:noWrap w:val="0"/>
            <w:tcMar>
              <w:top w:w="0" w:type="dxa"/>
              <w:left w:w="57" w:type="dxa"/>
              <w:bottom w:w="0" w:type="dxa"/>
              <w:right w:w="57" w:type="dxa"/>
            </w:tcMar>
            <w:vAlign w:val="center"/>
          </w:tcPr>
          <w:p w14:paraId="2562C0DF">
            <w:pPr>
              <w:spacing w:before="20" w:after="20" w:line="300" w:lineRule="auto"/>
              <w:jc w:val="center"/>
              <w:rPr>
                <w:rFonts w:hint="eastAsia"/>
                <w:b/>
              </w:rPr>
            </w:pPr>
            <w:r>
              <w:rPr>
                <w:b/>
              </w:rPr>
              <w:t>违反条款</w:t>
            </w:r>
          </w:p>
        </w:tc>
        <w:tc>
          <w:tcPr>
            <w:tcW w:w="4361" w:type="pct"/>
            <w:gridSpan w:val="2"/>
            <w:noWrap w:val="0"/>
            <w:tcMar>
              <w:top w:w="0" w:type="dxa"/>
              <w:left w:w="57" w:type="dxa"/>
              <w:bottom w:w="0" w:type="dxa"/>
              <w:right w:w="57" w:type="dxa"/>
            </w:tcMar>
            <w:vAlign w:val="center"/>
          </w:tcPr>
          <w:p w14:paraId="50046AA7">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1.《中华人民共和国生态环境法典》第二百一十三条第三款 国家鼓励生产、进口、销售、使用低毒、低挥发性有机物含量的原辅材料和产品，工业涂装企业等应当按照规定使用低挥发性有机物含量的原辅材料和产品。</w:t>
            </w:r>
          </w:p>
          <w:p w14:paraId="354FC4D1">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2.《云南省大气污染防治条例》（2026修订版）第二十二条第二款</w:t>
            </w:r>
            <w:r>
              <w:rPr>
                <w:rFonts w:hint="eastAsia" w:cs="Times New Roman"/>
                <w:sz w:val="21"/>
                <w:szCs w:val="21"/>
              </w:rPr>
              <w:t xml:space="preserve"> </w:t>
            </w:r>
            <w:r>
              <w:rPr>
                <w:rFonts w:cs="Times New Roman"/>
                <w:sz w:val="21"/>
                <w:szCs w:val="21"/>
              </w:rPr>
              <w:t>鼓励生产、进口、销售、使用低毒、低挥发性有机物含量的原辅材料和产品。工业涂装企业等应当按照规定使用低挥发性有机物含量的原辅料和产品。</w:t>
            </w:r>
          </w:p>
          <w:p w14:paraId="286C3756">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p>
        </w:tc>
      </w:tr>
      <w:tr w14:paraId="6762F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9" w:type="pct"/>
            <w:noWrap w:val="0"/>
            <w:tcMar>
              <w:top w:w="0" w:type="dxa"/>
              <w:left w:w="57" w:type="dxa"/>
              <w:bottom w:w="0" w:type="dxa"/>
              <w:right w:w="57" w:type="dxa"/>
            </w:tcMar>
            <w:vAlign w:val="center"/>
          </w:tcPr>
          <w:p w14:paraId="17314778">
            <w:pPr>
              <w:spacing w:before="20" w:after="20" w:line="300" w:lineRule="auto"/>
              <w:jc w:val="center"/>
              <w:rPr>
                <w:rFonts w:hint="eastAsia"/>
                <w:b/>
              </w:rPr>
            </w:pPr>
            <w:r>
              <w:rPr>
                <w:b/>
              </w:rPr>
              <w:t>处罚依据</w:t>
            </w:r>
          </w:p>
        </w:tc>
        <w:tc>
          <w:tcPr>
            <w:tcW w:w="4361" w:type="pct"/>
            <w:gridSpan w:val="2"/>
            <w:noWrap w:val="0"/>
            <w:tcMar>
              <w:top w:w="0" w:type="dxa"/>
              <w:left w:w="57" w:type="dxa"/>
              <w:bottom w:w="0" w:type="dxa"/>
              <w:right w:w="57" w:type="dxa"/>
            </w:tcMar>
            <w:vAlign w:val="center"/>
          </w:tcPr>
          <w:p w14:paraId="3F6B8DEB">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1.《中华人民共和国生态环境法典》第一千一百二十条第一款第一项 违反本法规定，有下列情形之一的，由生态环境主管部门责令改正，处二万元以上二十万元以下的罚款；拒不改正的，责令停产整治：</w:t>
            </w:r>
          </w:p>
          <w:p w14:paraId="199F88F4">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（一）工业涂装企业等未使用低挥发性有机物含量的原辅材料和产品。</w:t>
            </w:r>
          </w:p>
          <w:p w14:paraId="35359DB2">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2.《云南省大气污染防治条例》（2026修订版）第四十四条 违反本条例第二十二条、第二十三条规定的，由县级以上人民政府生态环境主管部门责令改正，处2万元以上20万元以下罚款；拒不改正的，责令停产整治。</w:t>
            </w:r>
          </w:p>
          <w:p w14:paraId="7CA506DE">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p>
        </w:tc>
      </w:tr>
      <w:tr w14:paraId="120D9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9" w:type="pct"/>
            <w:noWrap w:val="0"/>
            <w:tcMar>
              <w:top w:w="0" w:type="dxa"/>
              <w:left w:w="57" w:type="dxa"/>
              <w:bottom w:w="0" w:type="dxa"/>
              <w:right w:w="57" w:type="dxa"/>
            </w:tcMar>
            <w:vAlign w:val="center"/>
          </w:tcPr>
          <w:p w14:paraId="5C92567D">
            <w:pPr>
              <w:spacing w:before="20" w:after="20" w:line="300" w:lineRule="auto"/>
              <w:jc w:val="center"/>
              <w:rPr>
                <w:rFonts w:hint="eastAsia"/>
                <w:b/>
              </w:rPr>
            </w:pPr>
            <w:r>
              <w:rPr>
                <w:b/>
              </w:rPr>
              <w:t>裁量因素</w:t>
            </w:r>
          </w:p>
        </w:tc>
        <w:tc>
          <w:tcPr>
            <w:tcW w:w="3760" w:type="pct"/>
            <w:noWrap w:val="0"/>
            <w:tcMar>
              <w:top w:w="0" w:type="dxa"/>
              <w:left w:w="57" w:type="dxa"/>
              <w:bottom w:w="0" w:type="dxa"/>
              <w:right w:w="57" w:type="dxa"/>
            </w:tcMar>
            <w:vAlign w:val="center"/>
          </w:tcPr>
          <w:p w14:paraId="1FBC1A83">
            <w:pPr>
              <w:spacing w:before="20" w:after="20" w:line="300" w:lineRule="auto"/>
              <w:jc w:val="center"/>
              <w:rPr>
                <w:rFonts w:hint="eastAsia"/>
                <w:b/>
              </w:rPr>
            </w:pPr>
            <w:r>
              <w:rPr>
                <w:b/>
              </w:rPr>
              <w:t>裁量因子</w:t>
            </w:r>
          </w:p>
        </w:tc>
        <w:tc>
          <w:tcPr>
            <w:tcW w:w="601" w:type="pct"/>
            <w:noWrap w:val="0"/>
            <w:tcMar>
              <w:top w:w="0" w:type="dxa"/>
              <w:left w:w="57" w:type="dxa"/>
              <w:bottom w:w="0" w:type="dxa"/>
              <w:right w:w="57" w:type="dxa"/>
            </w:tcMar>
            <w:vAlign w:val="center"/>
          </w:tcPr>
          <w:p w14:paraId="3B743896">
            <w:pPr>
              <w:spacing w:before="20" w:after="20" w:line="300" w:lineRule="auto"/>
              <w:jc w:val="center"/>
              <w:rPr>
                <w:rFonts w:hint="eastAsia"/>
                <w:b/>
              </w:rPr>
            </w:pPr>
            <w:r>
              <w:rPr>
                <w:b/>
              </w:rPr>
              <w:t>裁量等级</w:t>
            </w:r>
          </w:p>
        </w:tc>
      </w:tr>
      <w:tr w14:paraId="0D4AB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9" w:type="pct"/>
            <w:vMerge w:val="restart"/>
            <w:noWrap w:val="0"/>
            <w:tcMar>
              <w:top w:w="0" w:type="dxa"/>
              <w:left w:w="57" w:type="dxa"/>
              <w:bottom w:w="0" w:type="dxa"/>
              <w:right w:w="57" w:type="dxa"/>
            </w:tcMar>
            <w:vAlign w:val="center"/>
          </w:tcPr>
          <w:p w14:paraId="562CFB3C">
            <w:pPr>
              <w:spacing w:before="20" w:after="20" w:line="300" w:lineRule="auto"/>
              <w:jc w:val="center"/>
              <w:rPr>
                <w:rFonts w:hint="eastAsia"/>
                <w:b/>
              </w:rPr>
            </w:pPr>
            <w:r>
              <w:rPr>
                <w:b/>
              </w:rPr>
              <w:t>违法事实</w:t>
            </w:r>
          </w:p>
        </w:tc>
        <w:tc>
          <w:tcPr>
            <w:tcW w:w="3760" w:type="pct"/>
            <w:noWrap w:val="0"/>
            <w:tcMar>
              <w:top w:w="0" w:type="dxa"/>
              <w:left w:w="57" w:type="dxa"/>
              <w:bottom w:w="0" w:type="dxa"/>
              <w:right w:w="57" w:type="dxa"/>
            </w:tcMar>
            <w:vAlign w:val="center"/>
          </w:tcPr>
          <w:p w14:paraId="0AB7BA52">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已使用低挥发性有机物含量涂料，但未规范建立、保存台账</w:t>
            </w:r>
          </w:p>
        </w:tc>
        <w:tc>
          <w:tcPr>
            <w:tcW w:w="601" w:type="pct"/>
            <w:noWrap w:val="0"/>
            <w:tcMar>
              <w:top w:w="0" w:type="dxa"/>
              <w:left w:w="57" w:type="dxa"/>
              <w:bottom w:w="0" w:type="dxa"/>
              <w:right w:w="57" w:type="dxa"/>
            </w:tcMar>
            <w:vAlign w:val="center"/>
          </w:tcPr>
          <w:p w14:paraId="177487EB">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75986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9" w:type="pct"/>
            <w:vMerge w:val="continue"/>
            <w:noWrap w:val="0"/>
            <w:tcMar>
              <w:top w:w="0" w:type="dxa"/>
              <w:left w:w="57" w:type="dxa"/>
              <w:bottom w:w="0" w:type="dxa"/>
              <w:right w:w="57" w:type="dxa"/>
            </w:tcMar>
            <w:vAlign w:val="center"/>
          </w:tcPr>
          <w:p w14:paraId="04747E19">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60" w:type="pct"/>
            <w:noWrap w:val="0"/>
            <w:tcMar>
              <w:top w:w="0" w:type="dxa"/>
              <w:left w:w="57" w:type="dxa"/>
              <w:bottom w:w="0" w:type="dxa"/>
              <w:right w:w="57" w:type="dxa"/>
            </w:tcMar>
            <w:vAlign w:val="center"/>
          </w:tcPr>
          <w:p w14:paraId="2914434D">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已使用低挥发性有机物含量涂料，但未建立、保存台账</w:t>
            </w:r>
          </w:p>
        </w:tc>
        <w:tc>
          <w:tcPr>
            <w:tcW w:w="601" w:type="pct"/>
            <w:noWrap w:val="0"/>
            <w:tcMar>
              <w:top w:w="0" w:type="dxa"/>
              <w:left w:w="57" w:type="dxa"/>
              <w:bottom w:w="0" w:type="dxa"/>
              <w:right w:w="57" w:type="dxa"/>
            </w:tcMar>
            <w:vAlign w:val="center"/>
          </w:tcPr>
          <w:p w14:paraId="1CEE2210">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638AB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9" w:type="pct"/>
            <w:vMerge w:val="continue"/>
            <w:noWrap w:val="0"/>
            <w:tcMar>
              <w:top w:w="0" w:type="dxa"/>
              <w:left w:w="57" w:type="dxa"/>
              <w:bottom w:w="0" w:type="dxa"/>
              <w:right w:w="57" w:type="dxa"/>
            </w:tcMar>
            <w:vAlign w:val="center"/>
          </w:tcPr>
          <w:p w14:paraId="76F70208">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60" w:type="pct"/>
            <w:noWrap w:val="0"/>
            <w:tcMar>
              <w:top w:w="0" w:type="dxa"/>
              <w:left w:w="57" w:type="dxa"/>
              <w:bottom w:w="0" w:type="dxa"/>
              <w:right w:w="57" w:type="dxa"/>
            </w:tcMar>
            <w:vAlign w:val="center"/>
          </w:tcPr>
          <w:p w14:paraId="56F26F6C">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未使用低挥发性有机物含量涂料</w:t>
            </w:r>
          </w:p>
        </w:tc>
        <w:tc>
          <w:tcPr>
            <w:tcW w:w="601" w:type="pct"/>
            <w:noWrap w:val="0"/>
            <w:tcMar>
              <w:top w:w="0" w:type="dxa"/>
              <w:left w:w="57" w:type="dxa"/>
              <w:bottom w:w="0" w:type="dxa"/>
              <w:right w:w="57" w:type="dxa"/>
            </w:tcMar>
            <w:vAlign w:val="center"/>
          </w:tcPr>
          <w:p w14:paraId="5BFDB61B">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66821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9" w:type="pct"/>
            <w:vMerge w:val="restart"/>
            <w:noWrap w:val="0"/>
            <w:tcMar>
              <w:top w:w="0" w:type="dxa"/>
              <w:left w:w="57" w:type="dxa"/>
              <w:bottom w:w="0" w:type="dxa"/>
              <w:right w:w="57" w:type="dxa"/>
            </w:tcMar>
            <w:vAlign w:val="center"/>
          </w:tcPr>
          <w:p w14:paraId="598A8812">
            <w:pPr>
              <w:spacing w:before="20" w:after="20" w:line="300" w:lineRule="auto"/>
              <w:jc w:val="center"/>
              <w:rPr>
                <w:rFonts w:hint="eastAsia"/>
                <w:b/>
              </w:rPr>
            </w:pPr>
            <w:r>
              <w:rPr>
                <w:rFonts w:hint="eastAsia"/>
                <w:b/>
              </w:rPr>
              <w:t>含挥发性有机物原辅材料年使用量</w:t>
            </w:r>
          </w:p>
        </w:tc>
        <w:tc>
          <w:tcPr>
            <w:tcW w:w="3760" w:type="pct"/>
            <w:noWrap w:val="0"/>
            <w:tcMar>
              <w:top w:w="0" w:type="dxa"/>
              <w:left w:w="57" w:type="dxa"/>
              <w:bottom w:w="0" w:type="dxa"/>
              <w:right w:w="57" w:type="dxa"/>
            </w:tcMar>
            <w:vAlign w:val="center"/>
          </w:tcPr>
          <w:p w14:paraId="34E4A1D9">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不足3吨</w:t>
            </w:r>
          </w:p>
        </w:tc>
        <w:tc>
          <w:tcPr>
            <w:tcW w:w="601" w:type="pct"/>
            <w:noWrap w:val="0"/>
            <w:tcMar>
              <w:top w:w="0" w:type="dxa"/>
              <w:left w:w="57" w:type="dxa"/>
              <w:bottom w:w="0" w:type="dxa"/>
              <w:right w:w="57" w:type="dxa"/>
            </w:tcMar>
            <w:vAlign w:val="center"/>
          </w:tcPr>
          <w:p w14:paraId="4F8DFD75">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hint="eastAsia" w:ascii="宋体" w:hAnsi="宋体" w:eastAsia="宋体"/>
                <w:sz w:val="21"/>
                <w:szCs w:val="21"/>
              </w:rPr>
              <w:t>1</w:t>
            </w:r>
          </w:p>
        </w:tc>
      </w:tr>
      <w:tr w14:paraId="5DF43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9" w:type="pct"/>
            <w:vMerge w:val="continue"/>
            <w:noWrap w:val="0"/>
            <w:tcMar>
              <w:top w:w="0" w:type="dxa"/>
              <w:left w:w="57" w:type="dxa"/>
              <w:bottom w:w="0" w:type="dxa"/>
              <w:right w:w="57" w:type="dxa"/>
            </w:tcMar>
            <w:vAlign w:val="center"/>
          </w:tcPr>
          <w:p w14:paraId="3AC66D58">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60" w:type="pct"/>
            <w:noWrap w:val="0"/>
            <w:tcMar>
              <w:top w:w="0" w:type="dxa"/>
              <w:left w:w="57" w:type="dxa"/>
              <w:bottom w:w="0" w:type="dxa"/>
              <w:right w:w="57" w:type="dxa"/>
            </w:tcMar>
            <w:vAlign w:val="center"/>
          </w:tcPr>
          <w:p w14:paraId="2CEF14AC">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3吨以上不足5吨</w:t>
            </w:r>
          </w:p>
        </w:tc>
        <w:tc>
          <w:tcPr>
            <w:tcW w:w="601" w:type="pct"/>
            <w:noWrap w:val="0"/>
            <w:tcMar>
              <w:top w:w="0" w:type="dxa"/>
              <w:left w:w="57" w:type="dxa"/>
              <w:bottom w:w="0" w:type="dxa"/>
              <w:right w:w="57" w:type="dxa"/>
            </w:tcMar>
            <w:vAlign w:val="center"/>
          </w:tcPr>
          <w:p w14:paraId="55065166">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hint="eastAsia" w:ascii="宋体" w:hAnsi="宋体" w:eastAsia="宋体"/>
                <w:sz w:val="21"/>
                <w:szCs w:val="21"/>
              </w:rPr>
              <w:t>2</w:t>
            </w:r>
          </w:p>
        </w:tc>
      </w:tr>
      <w:tr w14:paraId="21148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9" w:type="pct"/>
            <w:vMerge w:val="continue"/>
            <w:noWrap w:val="0"/>
            <w:tcMar>
              <w:top w:w="0" w:type="dxa"/>
              <w:left w:w="57" w:type="dxa"/>
              <w:bottom w:w="0" w:type="dxa"/>
              <w:right w:w="57" w:type="dxa"/>
            </w:tcMar>
            <w:vAlign w:val="center"/>
          </w:tcPr>
          <w:p w14:paraId="4D069D45">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60" w:type="pct"/>
            <w:noWrap w:val="0"/>
            <w:tcMar>
              <w:top w:w="0" w:type="dxa"/>
              <w:left w:w="57" w:type="dxa"/>
              <w:bottom w:w="0" w:type="dxa"/>
              <w:right w:w="57" w:type="dxa"/>
            </w:tcMar>
            <w:vAlign w:val="center"/>
          </w:tcPr>
          <w:p w14:paraId="3B2DDCE6">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5吨以上不足10吨</w:t>
            </w:r>
          </w:p>
        </w:tc>
        <w:tc>
          <w:tcPr>
            <w:tcW w:w="601" w:type="pct"/>
            <w:noWrap w:val="0"/>
            <w:tcMar>
              <w:top w:w="0" w:type="dxa"/>
              <w:left w:w="57" w:type="dxa"/>
              <w:bottom w:w="0" w:type="dxa"/>
              <w:right w:w="57" w:type="dxa"/>
            </w:tcMar>
            <w:vAlign w:val="center"/>
          </w:tcPr>
          <w:p w14:paraId="38CD169D">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hint="eastAsia" w:ascii="宋体" w:hAnsi="宋体" w:eastAsia="宋体"/>
                <w:sz w:val="21"/>
                <w:szCs w:val="21"/>
              </w:rPr>
              <w:t>3</w:t>
            </w:r>
          </w:p>
        </w:tc>
      </w:tr>
      <w:tr w14:paraId="3BA22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9" w:type="pct"/>
            <w:vMerge w:val="continue"/>
            <w:noWrap w:val="0"/>
            <w:tcMar>
              <w:top w:w="0" w:type="dxa"/>
              <w:left w:w="57" w:type="dxa"/>
              <w:bottom w:w="0" w:type="dxa"/>
              <w:right w:w="57" w:type="dxa"/>
            </w:tcMar>
            <w:vAlign w:val="center"/>
          </w:tcPr>
          <w:p w14:paraId="6C2BCB04">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60" w:type="pct"/>
            <w:noWrap w:val="0"/>
            <w:tcMar>
              <w:top w:w="0" w:type="dxa"/>
              <w:left w:w="57" w:type="dxa"/>
              <w:bottom w:w="0" w:type="dxa"/>
              <w:right w:w="57" w:type="dxa"/>
            </w:tcMar>
            <w:vAlign w:val="center"/>
          </w:tcPr>
          <w:p w14:paraId="75D8A765">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10吨以上不足100吨</w:t>
            </w:r>
          </w:p>
        </w:tc>
        <w:tc>
          <w:tcPr>
            <w:tcW w:w="601" w:type="pct"/>
            <w:noWrap w:val="0"/>
            <w:tcMar>
              <w:top w:w="0" w:type="dxa"/>
              <w:left w:w="57" w:type="dxa"/>
              <w:bottom w:w="0" w:type="dxa"/>
              <w:right w:w="57" w:type="dxa"/>
            </w:tcMar>
            <w:vAlign w:val="center"/>
          </w:tcPr>
          <w:p w14:paraId="76391C69">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hint="eastAsia" w:ascii="宋体" w:hAnsi="宋体" w:eastAsia="宋体"/>
                <w:sz w:val="21"/>
                <w:szCs w:val="21"/>
              </w:rPr>
              <w:t>4</w:t>
            </w:r>
          </w:p>
        </w:tc>
      </w:tr>
      <w:tr w14:paraId="55DE9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9" w:type="pct"/>
            <w:vMerge w:val="continue"/>
            <w:noWrap w:val="0"/>
            <w:tcMar>
              <w:top w:w="0" w:type="dxa"/>
              <w:left w:w="57" w:type="dxa"/>
              <w:bottom w:w="0" w:type="dxa"/>
              <w:right w:w="57" w:type="dxa"/>
            </w:tcMar>
            <w:vAlign w:val="center"/>
          </w:tcPr>
          <w:p w14:paraId="3FBDFA3C">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60" w:type="pct"/>
            <w:noWrap w:val="0"/>
            <w:tcMar>
              <w:top w:w="0" w:type="dxa"/>
              <w:left w:w="57" w:type="dxa"/>
              <w:bottom w:w="0" w:type="dxa"/>
              <w:right w:w="57" w:type="dxa"/>
            </w:tcMar>
            <w:vAlign w:val="center"/>
          </w:tcPr>
          <w:p w14:paraId="08AC67D4">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100吨以上</w:t>
            </w:r>
          </w:p>
        </w:tc>
        <w:tc>
          <w:tcPr>
            <w:tcW w:w="601" w:type="pct"/>
            <w:noWrap w:val="0"/>
            <w:tcMar>
              <w:top w:w="0" w:type="dxa"/>
              <w:left w:w="57" w:type="dxa"/>
              <w:bottom w:w="0" w:type="dxa"/>
              <w:right w:w="57" w:type="dxa"/>
            </w:tcMar>
            <w:vAlign w:val="center"/>
          </w:tcPr>
          <w:p w14:paraId="5C5CA5CE">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hint="eastAsia" w:ascii="宋体" w:hAnsi="宋体" w:eastAsia="宋体"/>
                <w:sz w:val="21"/>
                <w:szCs w:val="21"/>
              </w:rPr>
              <w:t>5</w:t>
            </w:r>
          </w:p>
        </w:tc>
      </w:tr>
      <w:tr w14:paraId="51B47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9" w:type="pct"/>
            <w:vMerge w:val="restart"/>
            <w:noWrap w:val="0"/>
            <w:tcMar>
              <w:top w:w="0" w:type="dxa"/>
              <w:left w:w="57" w:type="dxa"/>
              <w:bottom w:w="0" w:type="dxa"/>
              <w:right w:w="57" w:type="dxa"/>
            </w:tcMar>
            <w:vAlign w:val="center"/>
          </w:tcPr>
          <w:p w14:paraId="6B211DF5">
            <w:pPr>
              <w:spacing w:before="20" w:after="20" w:line="300" w:lineRule="auto"/>
              <w:jc w:val="center"/>
              <w:rPr>
                <w:rFonts w:hint="eastAsia"/>
                <w:b/>
              </w:rPr>
            </w:pPr>
            <w:r>
              <w:rPr>
                <w:rFonts w:hint="eastAsia"/>
                <w:b/>
              </w:rPr>
              <w:t>项目</w:t>
            </w:r>
            <w:r>
              <w:rPr>
                <w:b/>
              </w:rPr>
              <w:t>地点</w:t>
            </w:r>
          </w:p>
        </w:tc>
        <w:tc>
          <w:tcPr>
            <w:tcW w:w="3760" w:type="pct"/>
            <w:noWrap w:val="0"/>
            <w:tcMar>
              <w:top w:w="0" w:type="dxa"/>
              <w:left w:w="57" w:type="dxa"/>
              <w:bottom w:w="0" w:type="dxa"/>
              <w:right w:w="57" w:type="dxa"/>
            </w:tcMar>
            <w:vAlign w:val="center"/>
          </w:tcPr>
          <w:p w14:paraId="2F0D83CA">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环境空气二类功能区</w:t>
            </w:r>
          </w:p>
        </w:tc>
        <w:tc>
          <w:tcPr>
            <w:tcW w:w="601" w:type="pct"/>
            <w:noWrap w:val="0"/>
            <w:tcMar>
              <w:top w:w="0" w:type="dxa"/>
              <w:left w:w="57" w:type="dxa"/>
              <w:bottom w:w="0" w:type="dxa"/>
              <w:right w:w="57" w:type="dxa"/>
            </w:tcMar>
            <w:vAlign w:val="center"/>
          </w:tcPr>
          <w:p w14:paraId="006E612D">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hint="eastAsia" w:ascii="宋体" w:hAnsi="宋体" w:eastAsia="宋体"/>
                <w:sz w:val="21"/>
                <w:szCs w:val="21"/>
              </w:rPr>
              <w:t>3</w:t>
            </w:r>
          </w:p>
        </w:tc>
      </w:tr>
      <w:tr w14:paraId="5B6D7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9" w:type="pct"/>
            <w:vMerge w:val="continue"/>
            <w:noWrap w:val="0"/>
            <w:tcMar>
              <w:top w:w="0" w:type="dxa"/>
              <w:left w:w="57" w:type="dxa"/>
              <w:bottom w:w="0" w:type="dxa"/>
              <w:right w:w="57" w:type="dxa"/>
            </w:tcMar>
            <w:vAlign w:val="center"/>
          </w:tcPr>
          <w:p w14:paraId="367BB8DF">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60" w:type="pct"/>
            <w:noWrap w:val="0"/>
            <w:tcMar>
              <w:top w:w="0" w:type="dxa"/>
              <w:left w:w="57" w:type="dxa"/>
              <w:bottom w:w="0" w:type="dxa"/>
              <w:right w:w="57" w:type="dxa"/>
            </w:tcMar>
            <w:vAlign w:val="center"/>
          </w:tcPr>
          <w:p w14:paraId="2C0DF24B">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环境空气一类功能区</w:t>
            </w:r>
          </w:p>
        </w:tc>
        <w:tc>
          <w:tcPr>
            <w:tcW w:w="601" w:type="pct"/>
            <w:noWrap w:val="0"/>
            <w:tcMar>
              <w:top w:w="0" w:type="dxa"/>
              <w:left w:w="57" w:type="dxa"/>
              <w:bottom w:w="0" w:type="dxa"/>
              <w:right w:w="57" w:type="dxa"/>
            </w:tcMar>
            <w:vAlign w:val="center"/>
          </w:tcPr>
          <w:p w14:paraId="70C56846">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hint="eastAsia" w:ascii="宋体" w:hAnsi="宋体" w:eastAsia="宋体"/>
                <w:sz w:val="21"/>
                <w:szCs w:val="21"/>
              </w:rPr>
              <w:t>5</w:t>
            </w:r>
          </w:p>
        </w:tc>
      </w:tr>
      <w:tr w14:paraId="72C34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9" w:type="pct"/>
            <w:vMerge w:val="restart"/>
            <w:noWrap w:val="0"/>
            <w:tcMar>
              <w:top w:w="0" w:type="dxa"/>
              <w:left w:w="57" w:type="dxa"/>
              <w:bottom w:w="0" w:type="dxa"/>
              <w:right w:w="57" w:type="dxa"/>
            </w:tcMar>
            <w:vAlign w:val="center"/>
          </w:tcPr>
          <w:p w14:paraId="3997255B">
            <w:pPr>
              <w:spacing w:before="20" w:after="20" w:line="300" w:lineRule="auto"/>
              <w:jc w:val="center"/>
              <w:rPr>
                <w:rFonts w:hint="eastAsia"/>
                <w:b/>
              </w:rPr>
            </w:pPr>
            <w:r>
              <w:rPr>
                <w:b/>
              </w:rPr>
              <w:t>台账保存</w:t>
            </w:r>
          </w:p>
          <w:p w14:paraId="296FC68D">
            <w:pPr>
              <w:spacing w:before="20" w:after="20" w:line="300" w:lineRule="auto"/>
              <w:jc w:val="center"/>
              <w:rPr>
                <w:rFonts w:hint="eastAsia"/>
                <w:b/>
              </w:rPr>
            </w:pPr>
            <w:r>
              <w:rPr>
                <w:b/>
              </w:rPr>
              <w:t>期限</w:t>
            </w:r>
          </w:p>
        </w:tc>
        <w:tc>
          <w:tcPr>
            <w:tcW w:w="3760" w:type="pct"/>
            <w:noWrap w:val="0"/>
            <w:tcMar>
              <w:top w:w="0" w:type="dxa"/>
              <w:left w:w="57" w:type="dxa"/>
              <w:bottom w:w="0" w:type="dxa"/>
              <w:right w:w="57" w:type="dxa"/>
            </w:tcMar>
            <w:vAlign w:val="center"/>
          </w:tcPr>
          <w:p w14:paraId="773B32D7">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2年以上</w:t>
            </w:r>
            <w:r>
              <w:rPr>
                <w:rFonts w:hint="eastAsia" w:cs="Times New Roman"/>
                <w:sz w:val="21"/>
                <w:szCs w:val="21"/>
              </w:rPr>
              <w:t>不足</w:t>
            </w:r>
            <w:r>
              <w:rPr>
                <w:rFonts w:cs="Times New Roman"/>
                <w:sz w:val="21"/>
                <w:szCs w:val="21"/>
              </w:rPr>
              <w:t>3年</w:t>
            </w:r>
          </w:p>
        </w:tc>
        <w:tc>
          <w:tcPr>
            <w:tcW w:w="601" w:type="pct"/>
            <w:noWrap w:val="0"/>
            <w:tcMar>
              <w:top w:w="0" w:type="dxa"/>
              <w:left w:w="57" w:type="dxa"/>
              <w:bottom w:w="0" w:type="dxa"/>
              <w:right w:w="57" w:type="dxa"/>
            </w:tcMar>
            <w:vAlign w:val="center"/>
          </w:tcPr>
          <w:p w14:paraId="40F8737D">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61C4E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9" w:type="pct"/>
            <w:vMerge w:val="continue"/>
            <w:noWrap w:val="0"/>
            <w:tcMar>
              <w:top w:w="0" w:type="dxa"/>
              <w:left w:w="57" w:type="dxa"/>
              <w:bottom w:w="0" w:type="dxa"/>
              <w:right w:w="57" w:type="dxa"/>
            </w:tcMar>
            <w:vAlign w:val="center"/>
          </w:tcPr>
          <w:p w14:paraId="5161E32F">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60" w:type="pct"/>
            <w:noWrap w:val="0"/>
            <w:tcMar>
              <w:top w:w="0" w:type="dxa"/>
              <w:left w:w="57" w:type="dxa"/>
              <w:bottom w:w="0" w:type="dxa"/>
              <w:right w:w="57" w:type="dxa"/>
            </w:tcMar>
            <w:vAlign w:val="center"/>
          </w:tcPr>
          <w:p w14:paraId="313C32AD">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1年以上</w:t>
            </w:r>
            <w:r>
              <w:rPr>
                <w:rFonts w:hint="eastAsia" w:cs="Times New Roman"/>
                <w:sz w:val="21"/>
                <w:szCs w:val="21"/>
              </w:rPr>
              <w:t>不足</w:t>
            </w:r>
            <w:r>
              <w:rPr>
                <w:rFonts w:cs="Times New Roman"/>
                <w:sz w:val="21"/>
                <w:szCs w:val="21"/>
              </w:rPr>
              <w:t>2年</w:t>
            </w:r>
          </w:p>
        </w:tc>
        <w:tc>
          <w:tcPr>
            <w:tcW w:w="601" w:type="pct"/>
            <w:noWrap w:val="0"/>
            <w:tcMar>
              <w:top w:w="0" w:type="dxa"/>
              <w:left w:w="57" w:type="dxa"/>
              <w:bottom w:w="0" w:type="dxa"/>
              <w:right w:w="57" w:type="dxa"/>
            </w:tcMar>
            <w:vAlign w:val="center"/>
          </w:tcPr>
          <w:p w14:paraId="695A9631">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483FF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9" w:type="pct"/>
            <w:vMerge w:val="continue"/>
            <w:noWrap w:val="0"/>
            <w:tcMar>
              <w:top w:w="0" w:type="dxa"/>
              <w:left w:w="57" w:type="dxa"/>
              <w:bottom w:w="0" w:type="dxa"/>
              <w:right w:w="57" w:type="dxa"/>
            </w:tcMar>
            <w:vAlign w:val="center"/>
          </w:tcPr>
          <w:p w14:paraId="7462F9E6">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60" w:type="pct"/>
            <w:noWrap w:val="0"/>
            <w:tcMar>
              <w:top w:w="0" w:type="dxa"/>
              <w:left w:w="57" w:type="dxa"/>
              <w:bottom w:w="0" w:type="dxa"/>
              <w:right w:w="57" w:type="dxa"/>
            </w:tcMar>
            <w:vAlign w:val="center"/>
          </w:tcPr>
          <w:p w14:paraId="69AB646E">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不足</w:t>
            </w:r>
            <w:r>
              <w:rPr>
                <w:rFonts w:cs="Times New Roman"/>
                <w:sz w:val="21"/>
                <w:szCs w:val="21"/>
              </w:rPr>
              <w:t>1年</w:t>
            </w:r>
          </w:p>
        </w:tc>
        <w:tc>
          <w:tcPr>
            <w:tcW w:w="601" w:type="pct"/>
            <w:noWrap w:val="0"/>
            <w:tcMar>
              <w:top w:w="0" w:type="dxa"/>
              <w:left w:w="57" w:type="dxa"/>
              <w:bottom w:w="0" w:type="dxa"/>
              <w:right w:w="57" w:type="dxa"/>
            </w:tcMar>
            <w:vAlign w:val="center"/>
          </w:tcPr>
          <w:p w14:paraId="0FEED011">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2BFE9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39" w:type="pct"/>
            <w:noWrap w:val="0"/>
            <w:tcMar>
              <w:top w:w="0" w:type="dxa"/>
              <w:left w:w="57" w:type="dxa"/>
              <w:bottom w:w="0" w:type="dxa"/>
              <w:right w:w="57" w:type="dxa"/>
            </w:tcMar>
            <w:vAlign w:val="center"/>
          </w:tcPr>
          <w:p w14:paraId="5753E857">
            <w:pPr>
              <w:spacing w:before="20" w:after="20" w:line="300" w:lineRule="auto"/>
              <w:jc w:val="center"/>
              <w:rPr>
                <w:rFonts w:hint="eastAsia"/>
                <w:b/>
              </w:rPr>
            </w:pPr>
            <w:r>
              <w:rPr>
                <w:rFonts w:hint="eastAsia"/>
                <w:b/>
              </w:rPr>
              <w:t>备注</w:t>
            </w:r>
          </w:p>
        </w:tc>
        <w:tc>
          <w:tcPr>
            <w:tcW w:w="4361" w:type="pct"/>
            <w:gridSpan w:val="2"/>
            <w:noWrap w:val="0"/>
            <w:tcMar>
              <w:top w:w="0" w:type="dxa"/>
              <w:left w:w="57" w:type="dxa"/>
              <w:bottom w:w="0" w:type="dxa"/>
              <w:right w:w="57" w:type="dxa"/>
            </w:tcMar>
            <w:vAlign w:val="center"/>
          </w:tcPr>
          <w:p w14:paraId="072D34CB">
            <w:pPr>
              <w:pStyle w:val="20"/>
              <w:autoSpaceDE w:val="0"/>
              <w:autoSpaceDN w:val="0"/>
              <w:adjustRightInd w:val="0"/>
              <w:snapToGrid w:val="0"/>
              <w:spacing w:before="20" w:after="20" w:line="300" w:lineRule="auto"/>
              <w:ind w:left="0" w:right="0" w:rightChars="0" w:firstLine="0"/>
              <w:jc w:val="left"/>
              <w:textAlignment w:val="baseline"/>
              <w:rPr>
                <w:rFonts w:hint="eastAsia" w:cs="Times New Roman"/>
                <w:sz w:val="21"/>
                <w:szCs w:val="21"/>
              </w:rPr>
            </w:pPr>
            <w:r>
              <w:rPr>
                <w:rFonts w:hint="eastAsia" w:cs="Times New Roman"/>
                <w:sz w:val="21"/>
                <w:szCs w:val="21"/>
              </w:rPr>
              <w:t>“</w:t>
            </w:r>
            <w:r>
              <w:rPr>
                <w:rFonts w:cs="Times New Roman"/>
                <w:sz w:val="21"/>
                <w:szCs w:val="21"/>
              </w:rPr>
              <w:t>违法事实</w:t>
            </w:r>
            <w:r>
              <w:rPr>
                <w:rFonts w:hint="eastAsia" w:cs="Times New Roman"/>
                <w:sz w:val="21"/>
                <w:szCs w:val="21"/>
              </w:rPr>
              <w:t>”和“</w:t>
            </w:r>
            <w:r>
              <w:rPr>
                <w:rFonts w:cs="Times New Roman"/>
                <w:sz w:val="21"/>
                <w:szCs w:val="21"/>
              </w:rPr>
              <w:t>台账保存期限</w:t>
            </w:r>
            <w:r>
              <w:rPr>
                <w:rFonts w:hint="eastAsia" w:cs="Times New Roman"/>
                <w:sz w:val="21"/>
                <w:szCs w:val="21"/>
              </w:rPr>
              <w:t>”两项裁量因素仅在适用《</w:t>
            </w:r>
            <w:r>
              <w:rPr>
                <w:rFonts w:cs="Times New Roman"/>
                <w:sz w:val="21"/>
                <w:szCs w:val="21"/>
              </w:rPr>
              <w:t>云南省大气污染防治条例</w:t>
            </w:r>
            <w:r>
              <w:rPr>
                <w:rFonts w:hint="eastAsia" w:cs="Times New Roman"/>
                <w:sz w:val="21"/>
                <w:szCs w:val="21"/>
              </w:rPr>
              <w:t>》</w:t>
            </w:r>
            <w:r>
              <w:rPr>
                <w:rFonts w:cs="Times New Roman"/>
                <w:sz w:val="21"/>
                <w:szCs w:val="21"/>
              </w:rPr>
              <w:t>（2026修订版）</w:t>
            </w:r>
            <w:r>
              <w:rPr>
                <w:rFonts w:hint="eastAsia" w:cs="Times New Roman"/>
                <w:sz w:val="21"/>
                <w:szCs w:val="21"/>
              </w:rPr>
              <w:t>作出处罚时选取</w:t>
            </w:r>
          </w:p>
        </w:tc>
      </w:tr>
    </w:tbl>
    <w:p w14:paraId="57CF7E28">
      <w:pPr>
        <w:spacing w:before="40" w:after="40" w:line="400" w:lineRule="auto"/>
        <w:jc w:val="both"/>
        <w:rPr>
          <w:rFonts w:ascii="Times New Roman" w:hAnsi="Times New Roman" w:eastAsia="黑体"/>
          <w:b/>
          <w:sz w:val="24"/>
        </w:rPr>
      </w:pPr>
      <w:r>
        <w:rPr>
          <w:rFonts w:hint="eastAsia" w:ascii="Times New Roman" w:hAnsi="Times New Roman" w:eastAsia="黑体"/>
          <w:b/>
          <w:sz w:val="24"/>
        </w:rPr>
        <w:t>3.</w:t>
      </w:r>
      <w:r>
        <w:rPr>
          <w:rFonts w:ascii="Times New Roman" w:hAnsi="Times New Roman" w:eastAsia="黑体"/>
          <w:b/>
          <w:sz w:val="24"/>
        </w:rPr>
        <w:t>生产和使用产生含挥发性有机物原辅材料和产品，未在密闭空间或者设备中进行并安装、使用污染防治设施或者未采取减少废气排放措施的行为</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72"/>
        <w:gridCol w:w="6871"/>
        <w:gridCol w:w="1097"/>
      </w:tblGrid>
      <w:tr w14:paraId="0FF62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noWrap w:val="0"/>
            <w:tcMar>
              <w:top w:w="0" w:type="dxa"/>
              <w:left w:w="57" w:type="dxa"/>
              <w:bottom w:w="0" w:type="dxa"/>
              <w:right w:w="57" w:type="dxa"/>
            </w:tcMar>
            <w:vAlign w:val="center"/>
          </w:tcPr>
          <w:p w14:paraId="77987A37">
            <w:pPr>
              <w:spacing w:before="20" w:after="20" w:line="300" w:lineRule="auto"/>
              <w:jc w:val="center"/>
              <w:rPr>
                <w:rFonts w:hint="eastAsia"/>
                <w:b/>
              </w:rPr>
            </w:pPr>
            <w:r>
              <w:rPr>
                <w:b/>
              </w:rPr>
              <w:t>违反条款</w:t>
            </w:r>
          </w:p>
        </w:tc>
        <w:tc>
          <w:tcPr>
            <w:tcW w:w="4359" w:type="pct"/>
            <w:gridSpan w:val="2"/>
            <w:noWrap w:val="0"/>
            <w:tcMar>
              <w:top w:w="0" w:type="dxa"/>
              <w:left w:w="57" w:type="dxa"/>
              <w:bottom w:w="0" w:type="dxa"/>
              <w:right w:w="57" w:type="dxa"/>
            </w:tcMar>
            <w:vAlign w:val="center"/>
          </w:tcPr>
          <w:p w14:paraId="69F20323">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1.</w:t>
            </w:r>
            <w:r>
              <w:rPr>
                <w:rFonts w:hint="eastAsia" w:cs="Times New Roman"/>
                <w:sz w:val="21"/>
                <w:szCs w:val="21"/>
              </w:rPr>
              <w:t>《中华人民共和国生态环境法典》第二百一十四条 生产、使用含挥发性有机物的原辅材料和产品，应当按照国家规定，在密闭空间、设备中进行并安装、使用污染防治设施，或者采取有效措施减少废气排放。</w:t>
            </w:r>
          </w:p>
          <w:p w14:paraId="676CE4E5">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2.《云南省大气污染防治条例》（2026修订版）第二十二条</w:t>
            </w:r>
            <w:r>
              <w:rPr>
                <w:rFonts w:hint="eastAsia" w:cs="Times New Roman"/>
                <w:sz w:val="21"/>
                <w:szCs w:val="21"/>
              </w:rPr>
              <w:t>第一款</w:t>
            </w:r>
            <w:r>
              <w:rPr>
                <w:rFonts w:cs="Times New Roman"/>
                <w:sz w:val="21"/>
                <w:szCs w:val="21"/>
              </w:rPr>
              <w:t>生产、使用含挥发性有机物的原辅材料和产品，应当按照国家规定，在密闭空间、设备中进行并安装、使用污染防治设施，或者采取有效措施减少废气排放。</w:t>
            </w:r>
          </w:p>
          <w:p w14:paraId="16741B6D">
            <w:pPr>
              <w:pStyle w:val="20"/>
              <w:autoSpaceDE w:val="0"/>
              <w:autoSpaceDN w:val="0"/>
              <w:adjustRightInd w:val="0"/>
              <w:snapToGrid w:val="0"/>
              <w:spacing w:before="20" w:after="20" w:line="300" w:lineRule="auto"/>
              <w:ind w:right="110"/>
              <w:textAlignment w:val="baseline"/>
              <w:rPr>
                <w:rFonts w:hint="eastAsia" w:cs="Times New Roman"/>
                <w:b/>
                <w:bCs/>
                <w:color w:val="auto"/>
                <w:sz w:val="21"/>
                <w:szCs w:val="21"/>
              </w:rPr>
            </w:pPr>
            <w:r>
              <w:rPr>
                <w:rFonts w:hint="eastAsia" w:cs="Times New Roman"/>
                <w:b/>
                <w:bCs/>
                <w:color w:val="auto"/>
                <w:sz w:val="21"/>
                <w:szCs w:val="21"/>
              </w:rPr>
              <w:t>3.《昆明市大气污染防治条例》</w:t>
            </w:r>
            <w:r>
              <w:rPr>
                <w:rFonts w:cs="Times New Roman"/>
                <w:b/>
                <w:bCs/>
                <w:color w:val="auto"/>
                <w:sz w:val="21"/>
                <w:szCs w:val="21"/>
              </w:rPr>
              <w:t>（2026修订版）</w:t>
            </w:r>
            <w:r>
              <w:rPr>
                <w:rFonts w:hint="eastAsia" w:cs="Times New Roman"/>
                <w:b/>
                <w:bCs/>
                <w:color w:val="auto"/>
                <w:sz w:val="21"/>
                <w:szCs w:val="21"/>
              </w:rPr>
              <w:t>第二十六条</w:t>
            </w:r>
            <w:r>
              <w:rPr>
                <w:rFonts w:hint="eastAsia" w:cs="Times New Roman"/>
                <w:b/>
                <w:bCs/>
                <w:sz w:val="21"/>
                <w:szCs w:val="21"/>
              </w:rPr>
              <w:t xml:space="preserve"> </w:t>
            </w:r>
            <w:r>
              <w:rPr>
                <w:rFonts w:cs="Times New Roman"/>
                <w:b/>
                <w:bCs/>
                <w:color w:val="auto"/>
                <w:sz w:val="21"/>
                <w:szCs w:val="21"/>
              </w:rPr>
              <w:t>下列生产、使用含挥发性有机物的原辅材料和产品的，应当按照国家规定，在密闭空间、设备中进行并安装、使用污染防治设施，或者采取有效措施减少废气排放</w:t>
            </w:r>
            <w:r>
              <w:rPr>
                <w:rFonts w:hint="eastAsia" w:cs="Times New Roman"/>
                <w:b/>
                <w:bCs/>
                <w:color w:val="auto"/>
                <w:sz w:val="21"/>
                <w:szCs w:val="21"/>
              </w:rPr>
              <w:t>：</w:t>
            </w:r>
          </w:p>
          <w:p w14:paraId="1CC78F31">
            <w:pPr>
              <w:pStyle w:val="20"/>
              <w:autoSpaceDE w:val="0"/>
              <w:autoSpaceDN w:val="0"/>
              <w:adjustRightInd w:val="0"/>
              <w:snapToGrid w:val="0"/>
              <w:spacing w:before="20" w:after="20" w:line="300" w:lineRule="auto"/>
              <w:ind w:right="110"/>
              <w:textAlignment w:val="baseline"/>
              <w:rPr>
                <w:rFonts w:hint="eastAsia" w:cs="Times New Roman"/>
                <w:b/>
                <w:bCs/>
                <w:color w:val="auto"/>
                <w:sz w:val="21"/>
                <w:szCs w:val="21"/>
              </w:rPr>
            </w:pPr>
            <w:r>
              <w:rPr>
                <w:rFonts w:hint="eastAsia" w:cs="Times New Roman"/>
                <w:b/>
                <w:bCs/>
                <w:color w:val="auto"/>
                <w:sz w:val="21"/>
                <w:szCs w:val="21"/>
              </w:rPr>
              <w:t>（一）石油炼制及有机化学品、合成树脂、合成纤维、合成橡胶等行业；</w:t>
            </w:r>
          </w:p>
          <w:p w14:paraId="2845BDBA">
            <w:pPr>
              <w:pStyle w:val="20"/>
              <w:autoSpaceDE w:val="0"/>
              <w:autoSpaceDN w:val="0"/>
              <w:adjustRightInd w:val="0"/>
              <w:snapToGrid w:val="0"/>
              <w:spacing w:before="20" w:after="20" w:line="300" w:lineRule="auto"/>
              <w:ind w:right="110"/>
              <w:textAlignment w:val="baseline"/>
              <w:rPr>
                <w:rFonts w:hint="eastAsia" w:cs="Times New Roman"/>
                <w:b/>
                <w:bCs/>
                <w:color w:val="auto"/>
                <w:sz w:val="21"/>
                <w:szCs w:val="21"/>
              </w:rPr>
            </w:pPr>
            <w:r>
              <w:rPr>
                <w:rFonts w:hint="eastAsia" w:cs="Times New Roman"/>
                <w:b/>
                <w:bCs/>
                <w:color w:val="auto"/>
                <w:sz w:val="21"/>
                <w:szCs w:val="21"/>
              </w:rPr>
              <w:t>（二）制药、农药、涂料、油墨、胶粘剂、橡胶和塑料加工等行业；</w:t>
            </w:r>
          </w:p>
          <w:p w14:paraId="13841051">
            <w:pPr>
              <w:pStyle w:val="20"/>
              <w:autoSpaceDE w:val="0"/>
              <w:autoSpaceDN w:val="0"/>
              <w:adjustRightInd w:val="0"/>
              <w:snapToGrid w:val="0"/>
              <w:spacing w:before="20" w:after="20" w:line="300" w:lineRule="auto"/>
              <w:ind w:right="110"/>
              <w:textAlignment w:val="baseline"/>
              <w:rPr>
                <w:rFonts w:hint="eastAsia" w:cs="Times New Roman"/>
                <w:b/>
                <w:bCs/>
                <w:color w:val="auto"/>
                <w:sz w:val="21"/>
                <w:szCs w:val="21"/>
              </w:rPr>
            </w:pPr>
            <w:r>
              <w:rPr>
                <w:rFonts w:hint="eastAsia" w:cs="Times New Roman"/>
                <w:b/>
                <w:bCs/>
                <w:color w:val="auto"/>
                <w:sz w:val="21"/>
                <w:szCs w:val="21"/>
              </w:rPr>
              <w:t>（三）汽车、家具、集装箱、电子产品、工程机械等行业；</w:t>
            </w:r>
          </w:p>
          <w:p w14:paraId="786344E5">
            <w:pPr>
              <w:pStyle w:val="20"/>
              <w:autoSpaceDE w:val="0"/>
              <w:autoSpaceDN w:val="0"/>
              <w:adjustRightInd w:val="0"/>
              <w:snapToGrid w:val="0"/>
              <w:spacing w:before="20" w:after="20" w:line="300" w:lineRule="auto"/>
              <w:ind w:right="110"/>
              <w:textAlignment w:val="baseline"/>
              <w:rPr>
                <w:rFonts w:hint="eastAsia" w:cs="Times New Roman"/>
                <w:b/>
                <w:bCs/>
                <w:color w:val="auto"/>
                <w:sz w:val="21"/>
                <w:szCs w:val="21"/>
              </w:rPr>
            </w:pPr>
            <w:r>
              <w:rPr>
                <w:rFonts w:hint="eastAsia" w:cs="Times New Roman"/>
                <w:b/>
                <w:bCs/>
                <w:color w:val="auto"/>
                <w:sz w:val="21"/>
                <w:szCs w:val="21"/>
              </w:rPr>
              <w:t>（四）塑料软包装印刷、印铁制罐等行业；</w:t>
            </w:r>
          </w:p>
          <w:p w14:paraId="2AB8495F">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b/>
                <w:bCs/>
                <w:color w:val="auto"/>
                <w:sz w:val="21"/>
                <w:szCs w:val="21"/>
              </w:rPr>
              <w:t>（五）其他产生挥发性有机物的生产和服务活动。</w:t>
            </w:r>
          </w:p>
        </w:tc>
      </w:tr>
      <w:tr w14:paraId="75238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noWrap w:val="0"/>
            <w:tcMar>
              <w:top w:w="0" w:type="dxa"/>
              <w:left w:w="57" w:type="dxa"/>
              <w:bottom w:w="0" w:type="dxa"/>
              <w:right w:w="57" w:type="dxa"/>
            </w:tcMar>
            <w:vAlign w:val="center"/>
          </w:tcPr>
          <w:p w14:paraId="2461F0BE">
            <w:pPr>
              <w:spacing w:before="20" w:after="20" w:line="300" w:lineRule="auto"/>
              <w:jc w:val="center"/>
              <w:rPr>
                <w:rFonts w:hint="eastAsia"/>
                <w:b/>
              </w:rPr>
            </w:pPr>
            <w:r>
              <w:rPr>
                <w:b/>
              </w:rPr>
              <w:t>处罚依据</w:t>
            </w:r>
          </w:p>
        </w:tc>
        <w:tc>
          <w:tcPr>
            <w:tcW w:w="4359" w:type="pct"/>
            <w:gridSpan w:val="2"/>
            <w:noWrap w:val="0"/>
            <w:tcMar>
              <w:top w:w="0" w:type="dxa"/>
              <w:left w:w="57" w:type="dxa"/>
              <w:bottom w:w="0" w:type="dxa"/>
              <w:right w:w="57" w:type="dxa"/>
            </w:tcMar>
            <w:vAlign w:val="center"/>
          </w:tcPr>
          <w:p w14:paraId="5B8B41F9">
            <w:pPr>
              <w:pStyle w:val="20"/>
              <w:spacing w:before="20" w:after="20" w:line="300" w:lineRule="auto"/>
              <w:ind w:right="110"/>
              <w:rPr>
                <w:rFonts w:hint="eastAsia" w:cs="Times New Roman"/>
                <w:sz w:val="21"/>
                <w:szCs w:val="21"/>
              </w:rPr>
            </w:pPr>
            <w:r>
              <w:rPr>
                <w:rFonts w:cs="Times New Roman"/>
                <w:sz w:val="21"/>
                <w:szCs w:val="21"/>
              </w:rPr>
              <w:t>1.</w:t>
            </w:r>
            <w:r>
              <w:rPr>
                <w:rFonts w:hint="eastAsia" w:cs="Times New Roman"/>
                <w:sz w:val="21"/>
                <w:szCs w:val="21"/>
              </w:rPr>
              <w:t>《中华人民共和国生态环境法典》第一千一百二十条第一款第二项 违反本法规定，有下列情形之一的，由生态环境主管部门责令改正，处二万元以上二十万元以下的罚款；拒不改正的，责令停产整治：</w:t>
            </w:r>
          </w:p>
          <w:p w14:paraId="5B82A893">
            <w:pPr>
              <w:pStyle w:val="20"/>
              <w:spacing w:before="20" w:after="20" w:line="300" w:lineRule="auto"/>
              <w:ind w:right="110"/>
              <w:rPr>
                <w:rFonts w:hint="eastAsia" w:cs="Times New Roman"/>
                <w:sz w:val="21"/>
                <w:szCs w:val="21"/>
              </w:rPr>
            </w:pPr>
            <w:r>
              <w:rPr>
                <w:rFonts w:hint="eastAsia" w:cs="Times New Roman"/>
                <w:sz w:val="21"/>
                <w:szCs w:val="21"/>
              </w:rPr>
              <w:t>（二）生产和使用产生含挥发性有机物原辅材料和产品，未在密闭空间或者设备中进行并安装、使用污染防治设施或者未采取减少废气排放措施；</w:t>
            </w:r>
          </w:p>
          <w:p w14:paraId="39A9098D">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2.</w:t>
            </w:r>
            <w:r>
              <w:rPr>
                <w:rFonts w:hint="eastAsia" w:cs="Times New Roman"/>
                <w:sz w:val="21"/>
                <w:szCs w:val="21"/>
              </w:rPr>
              <w:t>《云南省大气污染防治条例》</w:t>
            </w:r>
            <w:r>
              <w:rPr>
                <w:rFonts w:cs="Times New Roman"/>
                <w:sz w:val="21"/>
                <w:szCs w:val="21"/>
              </w:rPr>
              <w:t>（2026修订版）第四十四条 违反本条例第二十二条、第二十三条规定的，由县级以上人民政府生态环境主管部门责令改正，处2万元以上20万元以下罚款；拒不改正的，责令停产整治。</w:t>
            </w:r>
          </w:p>
          <w:p w14:paraId="35000B6A">
            <w:pPr>
              <w:pStyle w:val="20"/>
              <w:autoSpaceDE w:val="0"/>
              <w:autoSpaceDN w:val="0"/>
              <w:adjustRightInd w:val="0"/>
              <w:snapToGrid w:val="0"/>
              <w:spacing w:before="20" w:after="20" w:line="300" w:lineRule="auto"/>
              <w:ind w:right="110"/>
              <w:textAlignment w:val="baseline"/>
              <w:rPr>
                <w:rFonts w:hint="eastAsia" w:cs="Times New Roman"/>
                <w:sz w:val="21"/>
                <w:szCs w:val="21"/>
              </w:rPr>
            </w:pPr>
          </w:p>
        </w:tc>
      </w:tr>
      <w:tr w14:paraId="1C952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noWrap w:val="0"/>
            <w:tcMar>
              <w:top w:w="0" w:type="dxa"/>
              <w:left w:w="57" w:type="dxa"/>
              <w:bottom w:w="0" w:type="dxa"/>
              <w:right w:w="57" w:type="dxa"/>
            </w:tcMar>
            <w:vAlign w:val="center"/>
          </w:tcPr>
          <w:p w14:paraId="691457BB">
            <w:pPr>
              <w:spacing w:before="20" w:after="20" w:line="300" w:lineRule="auto"/>
              <w:jc w:val="center"/>
              <w:rPr>
                <w:rFonts w:hint="eastAsia"/>
                <w:b/>
              </w:rPr>
            </w:pPr>
            <w:r>
              <w:rPr>
                <w:b/>
              </w:rPr>
              <w:t>裁量因素</w:t>
            </w:r>
          </w:p>
        </w:tc>
        <w:tc>
          <w:tcPr>
            <w:tcW w:w="3759" w:type="pct"/>
            <w:noWrap w:val="0"/>
            <w:tcMar>
              <w:top w:w="0" w:type="dxa"/>
              <w:left w:w="57" w:type="dxa"/>
              <w:bottom w:w="0" w:type="dxa"/>
              <w:right w:w="57" w:type="dxa"/>
            </w:tcMar>
            <w:vAlign w:val="center"/>
          </w:tcPr>
          <w:p w14:paraId="6107684B">
            <w:pPr>
              <w:spacing w:before="20" w:after="20" w:line="300" w:lineRule="auto"/>
              <w:jc w:val="center"/>
              <w:rPr>
                <w:rFonts w:hint="eastAsia"/>
                <w:b/>
              </w:rPr>
            </w:pPr>
            <w:r>
              <w:rPr>
                <w:b/>
              </w:rPr>
              <w:t>裁量因子</w:t>
            </w:r>
          </w:p>
        </w:tc>
        <w:tc>
          <w:tcPr>
            <w:tcW w:w="601" w:type="pct"/>
            <w:noWrap w:val="0"/>
            <w:tcMar>
              <w:top w:w="0" w:type="dxa"/>
              <w:left w:w="57" w:type="dxa"/>
              <w:bottom w:w="0" w:type="dxa"/>
              <w:right w:w="57" w:type="dxa"/>
            </w:tcMar>
            <w:vAlign w:val="center"/>
          </w:tcPr>
          <w:p w14:paraId="39114C51">
            <w:pPr>
              <w:spacing w:before="20" w:after="20" w:line="300" w:lineRule="auto"/>
              <w:jc w:val="center"/>
              <w:rPr>
                <w:rFonts w:hint="eastAsia"/>
                <w:b/>
              </w:rPr>
            </w:pPr>
            <w:r>
              <w:rPr>
                <w:b/>
              </w:rPr>
              <w:t>裁量等级</w:t>
            </w:r>
          </w:p>
        </w:tc>
      </w:tr>
      <w:tr w14:paraId="53517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restart"/>
            <w:noWrap w:val="0"/>
            <w:tcMar>
              <w:top w:w="0" w:type="dxa"/>
              <w:left w:w="57" w:type="dxa"/>
              <w:bottom w:w="0" w:type="dxa"/>
              <w:right w:w="57" w:type="dxa"/>
            </w:tcMar>
            <w:vAlign w:val="center"/>
          </w:tcPr>
          <w:p w14:paraId="22297768">
            <w:pPr>
              <w:spacing w:before="20" w:after="20" w:line="300" w:lineRule="auto"/>
              <w:jc w:val="center"/>
              <w:rPr>
                <w:rFonts w:hint="eastAsia"/>
                <w:b/>
              </w:rPr>
            </w:pPr>
            <w:r>
              <w:rPr>
                <w:b/>
              </w:rPr>
              <w:t>违法事实</w:t>
            </w:r>
          </w:p>
        </w:tc>
        <w:tc>
          <w:tcPr>
            <w:tcW w:w="3759" w:type="pct"/>
            <w:noWrap w:val="0"/>
            <w:tcMar>
              <w:top w:w="0" w:type="dxa"/>
              <w:left w:w="57" w:type="dxa"/>
              <w:bottom w:w="0" w:type="dxa"/>
              <w:right w:w="57" w:type="dxa"/>
            </w:tcMar>
            <w:vAlign w:val="center"/>
          </w:tcPr>
          <w:p w14:paraId="7DCF6246">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已在密闭空间或者设备中进行但密闭不严，或者已按照规定安装、使用污染防治设施但未规范运行的</w:t>
            </w:r>
          </w:p>
        </w:tc>
        <w:tc>
          <w:tcPr>
            <w:tcW w:w="601" w:type="pct"/>
            <w:noWrap w:val="0"/>
            <w:tcMar>
              <w:top w:w="0" w:type="dxa"/>
              <w:left w:w="57" w:type="dxa"/>
              <w:bottom w:w="0" w:type="dxa"/>
              <w:right w:w="57" w:type="dxa"/>
            </w:tcMar>
            <w:vAlign w:val="center"/>
          </w:tcPr>
          <w:p w14:paraId="31BAA141">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5A42B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continue"/>
            <w:noWrap w:val="0"/>
            <w:tcMar>
              <w:top w:w="0" w:type="dxa"/>
              <w:left w:w="57" w:type="dxa"/>
              <w:bottom w:w="0" w:type="dxa"/>
              <w:right w:w="57" w:type="dxa"/>
            </w:tcMar>
            <w:vAlign w:val="center"/>
          </w:tcPr>
          <w:p w14:paraId="4CBDDC58">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59" w:type="pct"/>
            <w:noWrap w:val="0"/>
            <w:tcMar>
              <w:top w:w="0" w:type="dxa"/>
              <w:left w:w="57" w:type="dxa"/>
              <w:bottom w:w="0" w:type="dxa"/>
              <w:right w:w="57" w:type="dxa"/>
            </w:tcMar>
            <w:vAlign w:val="center"/>
          </w:tcPr>
          <w:p w14:paraId="1FA86D4C">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未在密闭空间或者设备中进行，或者未按照规定安装、使用污染防治设施的</w:t>
            </w:r>
          </w:p>
        </w:tc>
        <w:tc>
          <w:tcPr>
            <w:tcW w:w="601" w:type="pct"/>
            <w:noWrap w:val="0"/>
            <w:tcMar>
              <w:top w:w="0" w:type="dxa"/>
              <w:left w:w="57" w:type="dxa"/>
              <w:bottom w:w="0" w:type="dxa"/>
              <w:right w:w="57" w:type="dxa"/>
            </w:tcMar>
            <w:vAlign w:val="center"/>
          </w:tcPr>
          <w:p w14:paraId="191D6EBE">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37E89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continue"/>
            <w:noWrap w:val="0"/>
            <w:tcMar>
              <w:top w:w="0" w:type="dxa"/>
              <w:left w:w="57" w:type="dxa"/>
              <w:bottom w:w="0" w:type="dxa"/>
              <w:right w:w="57" w:type="dxa"/>
            </w:tcMar>
            <w:vAlign w:val="center"/>
          </w:tcPr>
          <w:p w14:paraId="412907C3">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59" w:type="pct"/>
            <w:noWrap w:val="0"/>
            <w:tcMar>
              <w:top w:w="0" w:type="dxa"/>
              <w:left w:w="57" w:type="dxa"/>
              <w:bottom w:w="0" w:type="dxa"/>
              <w:right w:w="57" w:type="dxa"/>
            </w:tcMar>
            <w:vAlign w:val="center"/>
          </w:tcPr>
          <w:p w14:paraId="3C2F7040">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未在密闭空间或者设备中进行，且未按照规定安装、使用污染防治设施的；无法密闭的，未采取措施减少废气排放</w:t>
            </w:r>
            <w:r>
              <w:rPr>
                <w:rFonts w:hint="eastAsia" w:cs="Times New Roman"/>
                <w:sz w:val="21"/>
                <w:szCs w:val="21"/>
              </w:rPr>
              <w:t>的</w:t>
            </w:r>
          </w:p>
        </w:tc>
        <w:tc>
          <w:tcPr>
            <w:tcW w:w="601" w:type="pct"/>
            <w:noWrap w:val="0"/>
            <w:tcMar>
              <w:top w:w="0" w:type="dxa"/>
              <w:left w:w="57" w:type="dxa"/>
              <w:bottom w:w="0" w:type="dxa"/>
              <w:right w:w="57" w:type="dxa"/>
            </w:tcMar>
            <w:vAlign w:val="center"/>
          </w:tcPr>
          <w:p w14:paraId="52FF79CA">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32201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restart"/>
            <w:noWrap w:val="0"/>
            <w:tcMar>
              <w:top w:w="0" w:type="dxa"/>
              <w:left w:w="57" w:type="dxa"/>
              <w:bottom w:w="0" w:type="dxa"/>
              <w:right w:w="57" w:type="dxa"/>
            </w:tcMar>
            <w:vAlign w:val="center"/>
          </w:tcPr>
          <w:p w14:paraId="36733A0B">
            <w:pPr>
              <w:spacing w:before="20" w:after="20" w:line="300" w:lineRule="auto"/>
              <w:jc w:val="center"/>
              <w:rPr>
                <w:rFonts w:hint="eastAsia"/>
                <w:b/>
              </w:rPr>
            </w:pPr>
            <w:r>
              <w:rPr>
                <w:b/>
              </w:rPr>
              <w:t>涉及行业</w:t>
            </w:r>
          </w:p>
        </w:tc>
        <w:tc>
          <w:tcPr>
            <w:tcW w:w="3759" w:type="pct"/>
            <w:noWrap w:val="0"/>
            <w:tcMar>
              <w:top w:w="0" w:type="dxa"/>
              <w:left w:w="57" w:type="dxa"/>
              <w:bottom w:w="0" w:type="dxa"/>
              <w:right w:w="57" w:type="dxa"/>
            </w:tcMar>
            <w:vAlign w:val="center"/>
          </w:tcPr>
          <w:p w14:paraId="3E641F51">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涂装、印刷、包装、粘合等含挥发性有机物的产品使用，基础化学原料制造、化学药品原料药制造等含挥发性有机物的产品生产</w:t>
            </w:r>
          </w:p>
        </w:tc>
        <w:tc>
          <w:tcPr>
            <w:tcW w:w="601" w:type="pct"/>
            <w:noWrap w:val="0"/>
            <w:tcMar>
              <w:top w:w="0" w:type="dxa"/>
              <w:left w:w="57" w:type="dxa"/>
              <w:bottom w:w="0" w:type="dxa"/>
              <w:right w:w="57" w:type="dxa"/>
            </w:tcMar>
            <w:vAlign w:val="center"/>
          </w:tcPr>
          <w:p w14:paraId="09762179">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2</w:t>
            </w:r>
          </w:p>
        </w:tc>
      </w:tr>
      <w:tr w14:paraId="3E93D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continue"/>
            <w:noWrap w:val="0"/>
            <w:tcMar>
              <w:top w:w="0" w:type="dxa"/>
              <w:left w:w="57" w:type="dxa"/>
              <w:bottom w:w="0" w:type="dxa"/>
              <w:right w:w="57" w:type="dxa"/>
            </w:tcMar>
            <w:vAlign w:val="center"/>
          </w:tcPr>
          <w:p w14:paraId="2CC34AB9">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59" w:type="pct"/>
            <w:noWrap w:val="0"/>
            <w:tcMar>
              <w:top w:w="0" w:type="dxa"/>
              <w:left w:w="57" w:type="dxa"/>
              <w:bottom w:w="0" w:type="dxa"/>
              <w:right w:w="57" w:type="dxa"/>
            </w:tcMar>
            <w:vAlign w:val="center"/>
          </w:tcPr>
          <w:p w14:paraId="7A0DA66A">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油品、溶剂的储存、运输和销售</w:t>
            </w:r>
          </w:p>
        </w:tc>
        <w:tc>
          <w:tcPr>
            <w:tcW w:w="601" w:type="pct"/>
            <w:noWrap w:val="0"/>
            <w:tcMar>
              <w:top w:w="0" w:type="dxa"/>
              <w:left w:w="57" w:type="dxa"/>
              <w:bottom w:w="0" w:type="dxa"/>
              <w:right w:w="57" w:type="dxa"/>
            </w:tcMar>
            <w:vAlign w:val="center"/>
          </w:tcPr>
          <w:p w14:paraId="178E2228">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4157C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continue"/>
            <w:noWrap w:val="0"/>
            <w:tcMar>
              <w:top w:w="0" w:type="dxa"/>
              <w:left w:w="57" w:type="dxa"/>
              <w:bottom w:w="0" w:type="dxa"/>
              <w:right w:w="57" w:type="dxa"/>
            </w:tcMar>
            <w:vAlign w:val="center"/>
          </w:tcPr>
          <w:p w14:paraId="115D9727">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59" w:type="pct"/>
            <w:noWrap w:val="0"/>
            <w:tcMar>
              <w:top w:w="0" w:type="dxa"/>
              <w:left w:w="57" w:type="dxa"/>
              <w:bottom w:w="0" w:type="dxa"/>
              <w:right w:w="57" w:type="dxa"/>
            </w:tcMar>
            <w:vAlign w:val="center"/>
          </w:tcPr>
          <w:p w14:paraId="05DC59CA">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机械设备制造，轮胎制造等含挥发性有机物原料的生产或使用石油冶炼、石油化工、煤化工等含挥发性有机物原料的生产</w:t>
            </w:r>
          </w:p>
        </w:tc>
        <w:tc>
          <w:tcPr>
            <w:tcW w:w="601" w:type="pct"/>
            <w:noWrap w:val="0"/>
            <w:tcMar>
              <w:top w:w="0" w:type="dxa"/>
              <w:left w:w="57" w:type="dxa"/>
              <w:bottom w:w="0" w:type="dxa"/>
              <w:right w:w="57" w:type="dxa"/>
            </w:tcMar>
            <w:vAlign w:val="center"/>
          </w:tcPr>
          <w:p w14:paraId="1B47BE2F">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pacing w:val="1"/>
                <w:sz w:val="21"/>
                <w:szCs w:val="21"/>
              </w:rPr>
              <w:t>4</w:t>
            </w:r>
          </w:p>
        </w:tc>
      </w:tr>
      <w:tr w14:paraId="665F6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restart"/>
            <w:noWrap w:val="0"/>
            <w:tcMar>
              <w:top w:w="0" w:type="dxa"/>
              <w:left w:w="57" w:type="dxa"/>
              <w:bottom w:w="0" w:type="dxa"/>
              <w:right w:w="57" w:type="dxa"/>
            </w:tcMar>
            <w:vAlign w:val="center"/>
          </w:tcPr>
          <w:p w14:paraId="12A7FB17">
            <w:pPr>
              <w:spacing w:before="20" w:after="20" w:line="300" w:lineRule="auto"/>
              <w:jc w:val="center"/>
              <w:rPr>
                <w:rFonts w:hint="eastAsia"/>
                <w:b/>
              </w:rPr>
            </w:pPr>
            <w:r>
              <w:rPr>
                <w:rFonts w:hint="eastAsia"/>
                <w:b/>
              </w:rPr>
              <w:t>项目</w:t>
            </w:r>
            <w:r>
              <w:rPr>
                <w:b/>
              </w:rPr>
              <w:t>地点</w:t>
            </w:r>
          </w:p>
        </w:tc>
        <w:tc>
          <w:tcPr>
            <w:tcW w:w="3759" w:type="pct"/>
            <w:noWrap w:val="0"/>
            <w:tcMar>
              <w:top w:w="0" w:type="dxa"/>
              <w:left w:w="57" w:type="dxa"/>
              <w:bottom w:w="0" w:type="dxa"/>
              <w:right w:w="57" w:type="dxa"/>
            </w:tcMar>
            <w:vAlign w:val="center"/>
          </w:tcPr>
          <w:p w14:paraId="002E9F8E">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环境空气二类功能区</w:t>
            </w:r>
          </w:p>
        </w:tc>
        <w:tc>
          <w:tcPr>
            <w:tcW w:w="601" w:type="pct"/>
            <w:noWrap w:val="0"/>
            <w:tcMar>
              <w:top w:w="0" w:type="dxa"/>
              <w:left w:w="57" w:type="dxa"/>
              <w:bottom w:w="0" w:type="dxa"/>
              <w:right w:w="57" w:type="dxa"/>
            </w:tcMar>
            <w:vAlign w:val="center"/>
          </w:tcPr>
          <w:p w14:paraId="52A6F023">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hint="eastAsia" w:ascii="宋体" w:hAnsi="宋体" w:eastAsia="宋体"/>
                <w:sz w:val="21"/>
                <w:szCs w:val="21"/>
              </w:rPr>
              <w:t>3</w:t>
            </w:r>
          </w:p>
        </w:tc>
      </w:tr>
      <w:tr w14:paraId="13632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1" w:type="pct"/>
            <w:vMerge w:val="continue"/>
            <w:noWrap w:val="0"/>
            <w:tcMar>
              <w:top w:w="0" w:type="dxa"/>
              <w:left w:w="57" w:type="dxa"/>
              <w:bottom w:w="0" w:type="dxa"/>
              <w:right w:w="57" w:type="dxa"/>
            </w:tcMar>
            <w:vAlign w:val="center"/>
          </w:tcPr>
          <w:p w14:paraId="377BBDA8">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59" w:type="pct"/>
            <w:noWrap w:val="0"/>
            <w:tcMar>
              <w:top w:w="0" w:type="dxa"/>
              <w:left w:w="57" w:type="dxa"/>
              <w:bottom w:w="0" w:type="dxa"/>
              <w:right w:w="57" w:type="dxa"/>
            </w:tcMar>
            <w:vAlign w:val="center"/>
          </w:tcPr>
          <w:p w14:paraId="1615A771">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环境空气一类功能区</w:t>
            </w:r>
          </w:p>
        </w:tc>
        <w:tc>
          <w:tcPr>
            <w:tcW w:w="601" w:type="pct"/>
            <w:noWrap w:val="0"/>
            <w:tcMar>
              <w:top w:w="0" w:type="dxa"/>
              <w:left w:w="57" w:type="dxa"/>
              <w:bottom w:w="0" w:type="dxa"/>
              <w:right w:w="57" w:type="dxa"/>
            </w:tcMar>
            <w:vAlign w:val="center"/>
          </w:tcPr>
          <w:p w14:paraId="422B9384">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hint="eastAsia" w:ascii="宋体" w:hAnsi="宋体" w:eastAsia="宋体"/>
                <w:sz w:val="21"/>
                <w:szCs w:val="21"/>
              </w:rPr>
              <w:t>5</w:t>
            </w:r>
          </w:p>
        </w:tc>
      </w:tr>
    </w:tbl>
    <w:p w14:paraId="4336391B">
      <w:pPr>
        <w:spacing w:before="40" w:after="40" w:line="400" w:lineRule="auto"/>
        <w:jc w:val="both"/>
        <w:rPr>
          <w:rFonts w:ascii="Times New Roman" w:hAnsi="Times New Roman" w:eastAsia="黑体"/>
          <w:b/>
          <w:sz w:val="24"/>
        </w:rPr>
      </w:pPr>
      <w:r>
        <w:rPr>
          <w:rFonts w:hint="eastAsia" w:ascii="Times New Roman" w:hAnsi="Times New Roman" w:eastAsia="黑体"/>
          <w:b/>
          <w:sz w:val="24"/>
        </w:rPr>
        <w:t>4.</w:t>
      </w:r>
      <w:r>
        <w:rPr>
          <w:rFonts w:ascii="Times New Roman" w:hAnsi="Times New Roman" w:eastAsia="黑体"/>
          <w:b/>
          <w:sz w:val="24"/>
        </w:rPr>
        <w:t>储油库、加油站和油罐车等，未按照国家有关规定安装并正常使用油气回收装置的行为</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38"/>
        <w:gridCol w:w="6903"/>
        <w:gridCol w:w="1099"/>
      </w:tblGrid>
      <w:tr w14:paraId="7C908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3" w:type="pct"/>
            <w:noWrap w:val="0"/>
            <w:tcMar>
              <w:top w:w="0" w:type="dxa"/>
              <w:left w:w="57" w:type="dxa"/>
              <w:bottom w:w="0" w:type="dxa"/>
              <w:right w:w="57" w:type="dxa"/>
            </w:tcMar>
            <w:vAlign w:val="center"/>
          </w:tcPr>
          <w:p w14:paraId="22BAD19B">
            <w:pPr>
              <w:spacing w:before="20" w:after="20" w:line="300" w:lineRule="auto"/>
              <w:jc w:val="center"/>
              <w:rPr>
                <w:rFonts w:hint="eastAsia"/>
                <w:b/>
              </w:rPr>
            </w:pPr>
            <w:r>
              <w:rPr>
                <w:b/>
              </w:rPr>
              <w:t>违反条款</w:t>
            </w:r>
          </w:p>
        </w:tc>
        <w:tc>
          <w:tcPr>
            <w:tcW w:w="4377" w:type="pct"/>
            <w:gridSpan w:val="2"/>
            <w:noWrap w:val="0"/>
            <w:tcMar>
              <w:top w:w="0" w:type="dxa"/>
              <w:left w:w="57" w:type="dxa"/>
              <w:bottom w:w="0" w:type="dxa"/>
              <w:right w:w="57" w:type="dxa"/>
            </w:tcMar>
            <w:vAlign w:val="center"/>
          </w:tcPr>
          <w:p w14:paraId="6B3FDD5F">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1.</w:t>
            </w:r>
            <w:r>
              <w:rPr>
                <w:rFonts w:hint="eastAsia" w:cs="Times New Roman"/>
                <w:sz w:val="21"/>
                <w:szCs w:val="21"/>
              </w:rPr>
              <w:t>《中华人民共和国生态环境法典》第二百一十六条第二款 储油库、加油站、原油成品油码头、原油成品油运输船舶和油罐车、铁路罐车等，应当按照国家规定安装油气回收装置并保持正常使用。</w:t>
            </w:r>
          </w:p>
          <w:p w14:paraId="6427CF2F">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2.《云南省大气污染防治条例》（2026修订版）第二十三条</w:t>
            </w:r>
            <w:r>
              <w:rPr>
                <w:rFonts w:hint="eastAsia" w:cs="Times New Roman"/>
                <w:sz w:val="21"/>
                <w:szCs w:val="21"/>
              </w:rPr>
              <w:t xml:space="preserve"> </w:t>
            </w:r>
            <w:r>
              <w:rPr>
                <w:rFonts w:cs="Times New Roman"/>
                <w:sz w:val="21"/>
                <w:szCs w:val="21"/>
              </w:rPr>
              <w:t>储油库、加油站、原油成品油码头、原油成品油运输船舶和油罐车、铁路罐车等，应当按照国家有关规定安装油气回收装置并保持正常使用。</w:t>
            </w:r>
          </w:p>
          <w:p w14:paraId="69E7F0A4">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b/>
                <w:bCs/>
                <w:color w:val="auto"/>
                <w:sz w:val="21"/>
                <w:szCs w:val="21"/>
              </w:rPr>
              <w:t>3.《昆明市大气污染防治条例》</w:t>
            </w:r>
            <w:r>
              <w:rPr>
                <w:rFonts w:cs="Times New Roman"/>
                <w:b/>
                <w:bCs/>
                <w:color w:val="auto"/>
                <w:sz w:val="21"/>
                <w:szCs w:val="21"/>
              </w:rPr>
              <w:t>（2026修订版）</w:t>
            </w:r>
            <w:r>
              <w:rPr>
                <w:rFonts w:hint="eastAsia" w:cs="Times New Roman"/>
                <w:b/>
                <w:bCs/>
                <w:color w:val="auto"/>
                <w:sz w:val="21"/>
                <w:szCs w:val="21"/>
              </w:rPr>
              <w:t>第二十八条 储油储气库、加油加气站和油罐车、气罐车等，应当按照有关规定安装油气回收装置并保持正常使用。</w:t>
            </w:r>
          </w:p>
        </w:tc>
      </w:tr>
      <w:tr w14:paraId="2EDD3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3" w:type="pct"/>
            <w:noWrap w:val="0"/>
            <w:tcMar>
              <w:top w:w="0" w:type="dxa"/>
              <w:left w:w="57" w:type="dxa"/>
              <w:bottom w:w="0" w:type="dxa"/>
              <w:right w:w="57" w:type="dxa"/>
            </w:tcMar>
            <w:vAlign w:val="center"/>
          </w:tcPr>
          <w:p w14:paraId="490C80D9">
            <w:pPr>
              <w:spacing w:before="20" w:after="20" w:line="300" w:lineRule="auto"/>
              <w:jc w:val="center"/>
              <w:rPr>
                <w:rFonts w:hint="eastAsia"/>
                <w:b/>
              </w:rPr>
            </w:pPr>
            <w:r>
              <w:rPr>
                <w:b/>
              </w:rPr>
              <w:t>处罚依据</w:t>
            </w:r>
          </w:p>
        </w:tc>
        <w:tc>
          <w:tcPr>
            <w:tcW w:w="4377" w:type="pct"/>
            <w:gridSpan w:val="2"/>
            <w:noWrap w:val="0"/>
            <w:tcMar>
              <w:top w:w="0" w:type="dxa"/>
              <w:left w:w="57" w:type="dxa"/>
              <w:bottom w:w="0" w:type="dxa"/>
              <w:right w:w="57" w:type="dxa"/>
            </w:tcMar>
            <w:vAlign w:val="center"/>
          </w:tcPr>
          <w:p w14:paraId="2777E048">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1.</w:t>
            </w:r>
            <w:r>
              <w:rPr>
                <w:rFonts w:hint="eastAsia" w:cs="Times New Roman"/>
                <w:sz w:val="21"/>
                <w:szCs w:val="21"/>
              </w:rPr>
              <w:t>《中华人民共和国生态环境法典》第一千一百二十条第一款第四项、第二款 违反本法规定，有下列情形之一的，由生态环境主管部门责令改正，处二万元以上二十万元以下的罚款；拒不改正的，责令停产整治：</w:t>
            </w:r>
          </w:p>
          <w:p w14:paraId="28A6CACE">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（四）储油库、加油站和油罐车等，未按照国家规定安装并正常使用油气回收装置。</w:t>
            </w:r>
          </w:p>
          <w:p w14:paraId="391B2D6E">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违反本法规定，原油成品油码头、原油成品油运输船舶、铁路罐车未按照国家规定安装并正常使用油气回收装置的，由生态环境、交通运输、海事管理等部门按照职责分工，依照前款规定予以处罚。</w:t>
            </w:r>
          </w:p>
          <w:p w14:paraId="6B326969">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2.《云南省大气污染防治条例》（2026修订版）第四十四条 违反本条例第二十二条、第二十三条规定的，由县级以上人民政府生态环境主管部门责令改正，处2万元以上20万元以下罚款；拒不改正的，责令停产整治。</w:t>
            </w:r>
          </w:p>
          <w:p w14:paraId="05AD3D43">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p>
        </w:tc>
      </w:tr>
      <w:tr w14:paraId="67E32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3" w:type="pct"/>
            <w:noWrap w:val="0"/>
            <w:tcMar>
              <w:top w:w="0" w:type="dxa"/>
              <w:left w:w="57" w:type="dxa"/>
              <w:bottom w:w="0" w:type="dxa"/>
              <w:right w:w="57" w:type="dxa"/>
            </w:tcMar>
            <w:vAlign w:val="center"/>
          </w:tcPr>
          <w:p w14:paraId="306A72D3">
            <w:pPr>
              <w:spacing w:before="20" w:after="20" w:line="300" w:lineRule="auto"/>
              <w:jc w:val="center"/>
              <w:rPr>
                <w:rFonts w:hint="eastAsia"/>
                <w:b/>
              </w:rPr>
            </w:pPr>
            <w:r>
              <w:rPr>
                <w:b/>
              </w:rPr>
              <w:t>裁量因素</w:t>
            </w:r>
          </w:p>
        </w:tc>
        <w:tc>
          <w:tcPr>
            <w:tcW w:w="3776" w:type="pct"/>
            <w:noWrap w:val="0"/>
            <w:tcMar>
              <w:top w:w="0" w:type="dxa"/>
              <w:left w:w="57" w:type="dxa"/>
              <w:bottom w:w="0" w:type="dxa"/>
              <w:right w:w="57" w:type="dxa"/>
            </w:tcMar>
            <w:vAlign w:val="center"/>
          </w:tcPr>
          <w:p w14:paraId="5A38C1E4">
            <w:pPr>
              <w:spacing w:before="20" w:after="20" w:line="300" w:lineRule="auto"/>
              <w:jc w:val="center"/>
              <w:rPr>
                <w:rFonts w:hint="eastAsia"/>
                <w:b/>
              </w:rPr>
            </w:pPr>
            <w:r>
              <w:rPr>
                <w:b/>
              </w:rPr>
              <w:t>裁量因子</w:t>
            </w:r>
          </w:p>
        </w:tc>
        <w:tc>
          <w:tcPr>
            <w:tcW w:w="601" w:type="pct"/>
            <w:noWrap w:val="0"/>
            <w:tcMar>
              <w:top w:w="0" w:type="dxa"/>
              <w:left w:w="57" w:type="dxa"/>
              <w:bottom w:w="0" w:type="dxa"/>
              <w:right w:w="57" w:type="dxa"/>
            </w:tcMar>
            <w:vAlign w:val="center"/>
          </w:tcPr>
          <w:p w14:paraId="0EF1607F">
            <w:pPr>
              <w:spacing w:before="20" w:after="20" w:line="300" w:lineRule="auto"/>
              <w:jc w:val="center"/>
              <w:rPr>
                <w:rFonts w:hint="eastAsia"/>
                <w:b/>
              </w:rPr>
            </w:pPr>
            <w:r>
              <w:rPr>
                <w:b/>
              </w:rPr>
              <w:t>裁量等级</w:t>
            </w:r>
          </w:p>
        </w:tc>
      </w:tr>
      <w:tr w14:paraId="08E2A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3" w:type="pct"/>
            <w:vMerge w:val="restart"/>
            <w:noWrap w:val="0"/>
            <w:tcMar>
              <w:top w:w="0" w:type="dxa"/>
              <w:left w:w="57" w:type="dxa"/>
              <w:bottom w:w="0" w:type="dxa"/>
              <w:right w:w="57" w:type="dxa"/>
            </w:tcMar>
            <w:vAlign w:val="center"/>
          </w:tcPr>
          <w:p w14:paraId="78638AFC">
            <w:pPr>
              <w:spacing w:before="20" w:after="20" w:line="300" w:lineRule="auto"/>
              <w:jc w:val="center"/>
              <w:rPr>
                <w:rFonts w:hint="eastAsia"/>
                <w:b/>
              </w:rPr>
            </w:pPr>
            <w:r>
              <w:rPr>
                <w:b/>
              </w:rPr>
              <w:t>违法事实</w:t>
            </w:r>
          </w:p>
        </w:tc>
        <w:tc>
          <w:tcPr>
            <w:tcW w:w="3776" w:type="pct"/>
            <w:noWrap w:val="0"/>
            <w:tcMar>
              <w:top w:w="0" w:type="dxa"/>
              <w:left w:w="57" w:type="dxa"/>
              <w:bottom w:w="0" w:type="dxa"/>
              <w:right w:w="57" w:type="dxa"/>
            </w:tcMar>
            <w:vAlign w:val="center"/>
          </w:tcPr>
          <w:p w14:paraId="225AEE8C">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已安装油气回收装置</w:t>
            </w:r>
            <w:r>
              <w:rPr>
                <w:rFonts w:hint="eastAsia" w:cs="Times New Roman"/>
                <w:sz w:val="21"/>
                <w:szCs w:val="21"/>
              </w:rPr>
              <w:t>，</w:t>
            </w:r>
            <w:r>
              <w:rPr>
                <w:rFonts w:cs="Times New Roman"/>
                <w:sz w:val="21"/>
                <w:szCs w:val="21"/>
              </w:rPr>
              <w:t>但未规范使用</w:t>
            </w:r>
            <w:r>
              <w:rPr>
                <w:rFonts w:hint="eastAsia" w:cs="Times New Roman"/>
                <w:sz w:val="21"/>
                <w:szCs w:val="21"/>
              </w:rPr>
              <w:t>的</w:t>
            </w:r>
          </w:p>
        </w:tc>
        <w:tc>
          <w:tcPr>
            <w:tcW w:w="601" w:type="pct"/>
            <w:noWrap w:val="0"/>
            <w:tcMar>
              <w:top w:w="0" w:type="dxa"/>
              <w:left w:w="57" w:type="dxa"/>
              <w:bottom w:w="0" w:type="dxa"/>
              <w:right w:w="57" w:type="dxa"/>
            </w:tcMar>
            <w:vAlign w:val="center"/>
          </w:tcPr>
          <w:p w14:paraId="19C05FAD">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5003A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3" w:type="pct"/>
            <w:vMerge w:val="continue"/>
            <w:noWrap w:val="0"/>
            <w:tcMar>
              <w:top w:w="0" w:type="dxa"/>
              <w:left w:w="57" w:type="dxa"/>
              <w:bottom w:w="0" w:type="dxa"/>
              <w:right w:w="57" w:type="dxa"/>
            </w:tcMar>
            <w:vAlign w:val="center"/>
          </w:tcPr>
          <w:p w14:paraId="01EA9699">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76" w:type="pct"/>
            <w:noWrap w:val="0"/>
            <w:tcMar>
              <w:top w:w="0" w:type="dxa"/>
              <w:left w:w="57" w:type="dxa"/>
              <w:bottom w:w="0" w:type="dxa"/>
              <w:right w:w="57" w:type="dxa"/>
            </w:tcMar>
            <w:vAlign w:val="center"/>
          </w:tcPr>
          <w:p w14:paraId="4D981CF5">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已安装油气回收装置</w:t>
            </w:r>
            <w:r>
              <w:rPr>
                <w:rFonts w:hint="eastAsia" w:cs="Times New Roman"/>
                <w:sz w:val="21"/>
                <w:szCs w:val="21"/>
              </w:rPr>
              <w:t>，</w:t>
            </w:r>
            <w:r>
              <w:rPr>
                <w:rFonts w:cs="Times New Roman"/>
                <w:sz w:val="21"/>
                <w:szCs w:val="21"/>
              </w:rPr>
              <w:t>但未使用</w:t>
            </w:r>
            <w:r>
              <w:rPr>
                <w:rFonts w:hint="eastAsia" w:cs="Times New Roman"/>
                <w:sz w:val="21"/>
                <w:szCs w:val="21"/>
              </w:rPr>
              <w:t>的</w:t>
            </w:r>
          </w:p>
        </w:tc>
        <w:tc>
          <w:tcPr>
            <w:tcW w:w="601" w:type="pct"/>
            <w:noWrap w:val="0"/>
            <w:tcMar>
              <w:top w:w="0" w:type="dxa"/>
              <w:left w:w="57" w:type="dxa"/>
              <w:bottom w:w="0" w:type="dxa"/>
              <w:right w:w="57" w:type="dxa"/>
            </w:tcMar>
            <w:vAlign w:val="center"/>
          </w:tcPr>
          <w:p w14:paraId="10FE6CD6">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7FE4F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3" w:type="pct"/>
            <w:vMerge w:val="continue"/>
            <w:noWrap w:val="0"/>
            <w:tcMar>
              <w:top w:w="0" w:type="dxa"/>
              <w:left w:w="57" w:type="dxa"/>
              <w:bottom w:w="0" w:type="dxa"/>
              <w:right w:w="57" w:type="dxa"/>
            </w:tcMar>
            <w:vAlign w:val="center"/>
          </w:tcPr>
          <w:p w14:paraId="23C024A1">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76" w:type="pct"/>
            <w:noWrap w:val="0"/>
            <w:tcMar>
              <w:top w:w="0" w:type="dxa"/>
              <w:left w:w="57" w:type="dxa"/>
              <w:bottom w:w="0" w:type="dxa"/>
              <w:right w:w="57" w:type="dxa"/>
            </w:tcMar>
            <w:vAlign w:val="center"/>
          </w:tcPr>
          <w:p w14:paraId="4CFE520E">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未安装油气回收装置</w:t>
            </w:r>
            <w:r>
              <w:rPr>
                <w:rFonts w:hint="eastAsia" w:cs="Times New Roman"/>
                <w:sz w:val="21"/>
                <w:szCs w:val="21"/>
              </w:rPr>
              <w:t>的</w:t>
            </w:r>
          </w:p>
        </w:tc>
        <w:tc>
          <w:tcPr>
            <w:tcW w:w="601" w:type="pct"/>
            <w:noWrap w:val="0"/>
            <w:tcMar>
              <w:top w:w="0" w:type="dxa"/>
              <w:left w:w="57" w:type="dxa"/>
              <w:bottom w:w="0" w:type="dxa"/>
              <w:right w:w="57" w:type="dxa"/>
            </w:tcMar>
            <w:vAlign w:val="center"/>
          </w:tcPr>
          <w:p w14:paraId="3EBF9DCF">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00CFE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3" w:type="pct"/>
            <w:vMerge w:val="restart"/>
            <w:noWrap w:val="0"/>
            <w:tcMar>
              <w:top w:w="0" w:type="dxa"/>
              <w:left w:w="57" w:type="dxa"/>
              <w:bottom w:w="0" w:type="dxa"/>
              <w:right w:w="57" w:type="dxa"/>
            </w:tcMar>
            <w:vAlign w:val="center"/>
          </w:tcPr>
          <w:p w14:paraId="7E1FEC36">
            <w:pPr>
              <w:spacing w:before="20" w:after="20" w:line="300" w:lineRule="auto"/>
              <w:jc w:val="center"/>
              <w:rPr>
                <w:rFonts w:hint="eastAsia"/>
                <w:b/>
              </w:rPr>
            </w:pPr>
            <w:r>
              <w:rPr>
                <w:b/>
              </w:rPr>
              <w:t>违法行为</w:t>
            </w:r>
          </w:p>
          <w:p w14:paraId="59131BD3">
            <w:pPr>
              <w:spacing w:before="20" w:after="20" w:line="300" w:lineRule="auto"/>
              <w:jc w:val="center"/>
              <w:rPr>
                <w:rFonts w:hint="eastAsia"/>
                <w:b/>
              </w:rPr>
            </w:pPr>
            <w:r>
              <w:rPr>
                <w:b/>
              </w:rPr>
              <w:t>持续时间</w:t>
            </w:r>
          </w:p>
        </w:tc>
        <w:tc>
          <w:tcPr>
            <w:tcW w:w="3776" w:type="pct"/>
            <w:noWrap w:val="0"/>
            <w:tcMar>
              <w:top w:w="0" w:type="dxa"/>
              <w:left w:w="57" w:type="dxa"/>
              <w:bottom w:w="0" w:type="dxa"/>
              <w:right w:w="57" w:type="dxa"/>
            </w:tcMar>
            <w:vAlign w:val="center"/>
          </w:tcPr>
          <w:p w14:paraId="537C15F7">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不足</w:t>
            </w:r>
            <w:r>
              <w:rPr>
                <w:rFonts w:cs="Times New Roman"/>
                <w:sz w:val="21"/>
                <w:szCs w:val="21"/>
              </w:rPr>
              <w:t>1个月</w:t>
            </w:r>
          </w:p>
        </w:tc>
        <w:tc>
          <w:tcPr>
            <w:tcW w:w="601" w:type="pct"/>
            <w:noWrap w:val="0"/>
            <w:tcMar>
              <w:top w:w="0" w:type="dxa"/>
              <w:left w:w="57" w:type="dxa"/>
              <w:bottom w:w="0" w:type="dxa"/>
              <w:right w:w="57" w:type="dxa"/>
            </w:tcMar>
            <w:vAlign w:val="center"/>
          </w:tcPr>
          <w:p w14:paraId="67072784">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375A8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3" w:type="pct"/>
            <w:vMerge w:val="continue"/>
            <w:noWrap w:val="0"/>
            <w:tcMar>
              <w:top w:w="0" w:type="dxa"/>
              <w:left w:w="57" w:type="dxa"/>
              <w:bottom w:w="0" w:type="dxa"/>
              <w:right w:w="57" w:type="dxa"/>
            </w:tcMar>
            <w:vAlign w:val="center"/>
          </w:tcPr>
          <w:p w14:paraId="198773E7">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76" w:type="pct"/>
            <w:noWrap w:val="0"/>
            <w:tcMar>
              <w:top w:w="0" w:type="dxa"/>
              <w:left w:w="57" w:type="dxa"/>
              <w:bottom w:w="0" w:type="dxa"/>
              <w:right w:w="57" w:type="dxa"/>
            </w:tcMar>
            <w:vAlign w:val="center"/>
          </w:tcPr>
          <w:p w14:paraId="2160058E">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1个月以上</w:t>
            </w:r>
            <w:r>
              <w:rPr>
                <w:rFonts w:hint="eastAsia" w:cs="Times New Roman"/>
                <w:sz w:val="21"/>
                <w:szCs w:val="21"/>
              </w:rPr>
              <w:t>不足</w:t>
            </w:r>
            <w:r>
              <w:rPr>
                <w:rFonts w:cs="Times New Roman"/>
                <w:sz w:val="21"/>
                <w:szCs w:val="21"/>
              </w:rPr>
              <w:t>3个月</w:t>
            </w:r>
          </w:p>
        </w:tc>
        <w:tc>
          <w:tcPr>
            <w:tcW w:w="601" w:type="pct"/>
            <w:noWrap w:val="0"/>
            <w:tcMar>
              <w:top w:w="0" w:type="dxa"/>
              <w:left w:w="57" w:type="dxa"/>
              <w:bottom w:w="0" w:type="dxa"/>
              <w:right w:w="57" w:type="dxa"/>
            </w:tcMar>
            <w:vAlign w:val="center"/>
          </w:tcPr>
          <w:p w14:paraId="7CBFC5F1">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1F0CD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3" w:type="pct"/>
            <w:vMerge w:val="continue"/>
            <w:noWrap w:val="0"/>
            <w:tcMar>
              <w:top w:w="0" w:type="dxa"/>
              <w:left w:w="57" w:type="dxa"/>
              <w:bottom w:w="0" w:type="dxa"/>
              <w:right w:w="57" w:type="dxa"/>
            </w:tcMar>
            <w:vAlign w:val="center"/>
          </w:tcPr>
          <w:p w14:paraId="03E4AB9E">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76" w:type="pct"/>
            <w:noWrap w:val="0"/>
            <w:tcMar>
              <w:top w:w="0" w:type="dxa"/>
              <w:left w:w="57" w:type="dxa"/>
              <w:bottom w:w="0" w:type="dxa"/>
              <w:right w:w="57" w:type="dxa"/>
            </w:tcMar>
            <w:vAlign w:val="center"/>
          </w:tcPr>
          <w:p w14:paraId="3EECE25C">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3个月以上</w:t>
            </w:r>
          </w:p>
        </w:tc>
        <w:tc>
          <w:tcPr>
            <w:tcW w:w="601" w:type="pct"/>
            <w:noWrap w:val="0"/>
            <w:tcMar>
              <w:top w:w="0" w:type="dxa"/>
              <w:left w:w="57" w:type="dxa"/>
              <w:bottom w:w="0" w:type="dxa"/>
              <w:right w:w="57" w:type="dxa"/>
            </w:tcMar>
            <w:vAlign w:val="center"/>
          </w:tcPr>
          <w:p w14:paraId="6998EF5E">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30137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3" w:type="pct"/>
            <w:vMerge w:val="restart"/>
            <w:noWrap w:val="0"/>
            <w:tcMar>
              <w:top w:w="0" w:type="dxa"/>
              <w:left w:w="57" w:type="dxa"/>
              <w:bottom w:w="0" w:type="dxa"/>
              <w:right w:w="57" w:type="dxa"/>
            </w:tcMar>
            <w:vAlign w:val="center"/>
          </w:tcPr>
          <w:p w14:paraId="45BC836D">
            <w:pPr>
              <w:spacing w:before="20" w:after="20" w:line="300" w:lineRule="auto"/>
              <w:jc w:val="center"/>
              <w:rPr>
                <w:rFonts w:hint="eastAsia"/>
                <w:b/>
              </w:rPr>
            </w:pPr>
            <w:r>
              <w:rPr>
                <w:b/>
              </w:rPr>
              <w:t>未安装油气回收装置的设备</w:t>
            </w:r>
            <w:r>
              <w:rPr>
                <w:rFonts w:hint="eastAsia"/>
                <w:b/>
              </w:rPr>
              <w:t>或设施</w:t>
            </w:r>
          </w:p>
        </w:tc>
        <w:tc>
          <w:tcPr>
            <w:tcW w:w="3776" w:type="pct"/>
            <w:noWrap w:val="0"/>
            <w:tcMar>
              <w:top w:w="0" w:type="dxa"/>
              <w:left w:w="57" w:type="dxa"/>
              <w:bottom w:w="0" w:type="dxa"/>
              <w:right w:w="57" w:type="dxa"/>
            </w:tcMar>
            <w:vAlign w:val="center"/>
          </w:tcPr>
          <w:p w14:paraId="7498F44E">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油罐车、</w:t>
            </w:r>
            <w:r>
              <w:rPr>
                <w:rFonts w:hint="eastAsia" w:cs="Times New Roman"/>
                <w:sz w:val="21"/>
                <w:szCs w:val="21"/>
              </w:rPr>
              <w:t>铁路罐车</w:t>
            </w:r>
          </w:p>
        </w:tc>
        <w:tc>
          <w:tcPr>
            <w:tcW w:w="601" w:type="pct"/>
            <w:noWrap w:val="0"/>
            <w:tcMar>
              <w:top w:w="0" w:type="dxa"/>
              <w:left w:w="57" w:type="dxa"/>
              <w:bottom w:w="0" w:type="dxa"/>
              <w:right w:w="57" w:type="dxa"/>
            </w:tcMar>
            <w:vAlign w:val="center"/>
          </w:tcPr>
          <w:p w14:paraId="168127E7">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0E6ED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3" w:type="pct"/>
            <w:vMerge w:val="continue"/>
            <w:noWrap w:val="0"/>
            <w:tcMar>
              <w:top w:w="0" w:type="dxa"/>
              <w:left w:w="57" w:type="dxa"/>
              <w:bottom w:w="0" w:type="dxa"/>
              <w:right w:w="57" w:type="dxa"/>
            </w:tcMar>
            <w:vAlign w:val="center"/>
          </w:tcPr>
          <w:p w14:paraId="149C11A4">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76" w:type="pct"/>
            <w:noWrap w:val="0"/>
            <w:tcMar>
              <w:top w:w="0" w:type="dxa"/>
              <w:left w:w="57" w:type="dxa"/>
              <w:bottom w:w="0" w:type="dxa"/>
              <w:right w:w="57" w:type="dxa"/>
            </w:tcMar>
            <w:vAlign w:val="center"/>
          </w:tcPr>
          <w:p w14:paraId="6AC01D42">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加油站</w:t>
            </w:r>
          </w:p>
        </w:tc>
        <w:tc>
          <w:tcPr>
            <w:tcW w:w="601" w:type="pct"/>
            <w:noWrap w:val="0"/>
            <w:tcMar>
              <w:top w:w="0" w:type="dxa"/>
              <w:left w:w="57" w:type="dxa"/>
              <w:bottom w:w="0" w:type="dxa"/>
              <w:right w:w="57" w:type="dxa"/>
            </w:tcMar>
            <w:vAlign w:val="center"/>
          </w:tcPr>
          <w:p w14:paraId="30E35FB4">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4B9F3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3" w:type="pct"/>
            <w:vMerge w:val="continue"/>
            <w:noWrap w:val="0"/>
            <w:tcMar>
              <w:top w:w="0" w:type="dxa"/>
              <w:left w:w="57" w:type="dxa"/>
              <w:bottom w:w="0" w:type="dxa"/>
              <w:right w:w="57" w:type="dxa"/>
            </w:tcMar>
            <w:vAlign w:val="center"/>
          </w:tcPr>
          <w:p w14:paraId="1E1ADB8F">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76" w:type="pct"/>
            <w:noWrap w:val="0"/>
            <w:tcMar>
              <w:top w:w="0" w:type="dxa"/>
              <w:left w:w="57" w:type="dxa"/>
              <w:bottom w:w="0" w:type="dxa"/>
              <w:right w:w="57" w:type="dxa"/>
            </w:tcMar>
            <w:vAlign w:val="center"/>
          </w:tcPr>
          <w:p w14:paraId="150A1F34">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储油</w:t>
            </w:r>
            <w:r>
              <w:rPr>
                <w:rFonts w:hint="eastAsia" w:cs="Times New Roman"/>
                <w:sz w:val="21"/>
                <w:szCs w:val="21"/>
              </w:rPr>
              <w:t>库</w:t>
            </w:r>
          </w:p>
        </w:tc>
        <w:tc>
          <w:tcPr>
            <w:tcW w:w="601" w:type="pct"/>
            <w:noWrap w:val="0"/>
            <w:tcMar>
              <w:top w:w="0" w:type="dxa"/>
              <w:left w:w="57" w:type="dxa"/>
              <w:bottom w:w="0" w:type="dxa"/>
              <w:right w:w="57" w:type="dxa"/>
            </w:tcMar>
            <w:vAlign w:val="center"/>
          </w:tcPr>
          <w:p w14:paraId="16A346F8">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bl>
    <w:p w14:paraId="5BA6AF89">
      <w:pPr>
        <w:spacing w:before="40" w:after="40" w:line="400" w:lineRule="auto"/>
        <w:jc w:val="both"/>
        <w:rPr>
          <w:rFonts w:hint="eastAsia" w:ascii="Times New Roman" w:hAnsi="Times New Roman" w:eastAsia="黑体"/>
          <w:b/>
          <w:bCs w:val="0"/>
          <w:sz w:val="24"/>
          <w:lang w:val="en-US" w:eastAsia="zh-CN"/>
        </w:rPr>
      </w:pPr>
      <w:r>
        <w:rPr>
          <w:rFonts w:hint="eastAsia" w:ascii="Times New Roman" w:hAnsi="Times New Roman" w:eastAsia="黑体"/>
          <w:b/>
          <w:bCs w:val="0"/>
          <w:sz w:val="24"/>
        </w:rPr>
        <w:t>5.</w:t>
      </w:r>
      <w:r>
        <w:rPr>
          <w:rFonts w:ascii="Times New Roman" w:hAnsi="Times New Roman" w:eastAsia="黑体"/>
          <w:b/>
          <w:bCs w:val="0"/>
          <w:sz w:val="24"/>
        </w:rPr>
        <w:t>在居民住宅楼、未配套设立专用烟道的商住综合楼以及商住综合楼内与居住层相邻的商业楼层内新建、改建、扩建产生油烟、异味、废气的餐饮服务项目的行为</w:t>
      </w:r>
      <w:r>
        <w:rPr>
          <w:rFonts w:hint="eastAsia" w:ascii="Times New Roman" w:hAnsi="Times New Roman" w:eastAsia="黑体"/>
          <w:b/>
          <w:bCs w:val="0"/>
          <w:sz w:val="24"/>
          <w:lang w:val="en-US" w:eastAsia="zh-CN"/>
        </w:rPr>
        <w:t>(2024版保留）</w:t>
      </w:r>
    </w:p>
    <w:tbl>
      <w:tblPr>
        <w:tblStyle w:val="8"/>
        <w:tblW w:w="9026" w:type="dxa"/>
        <w:tblInd w:w="10" w:type="dxa"/>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119"/>
        <w:gridCol w:w="6946"/>
        <w:gridCol w:w="961"/>
      </w:tblGrid>
      <w:tr w14:paraId="72D484C0">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19" w:type="dxa"/>
            <w:noWrap w:val="0"/>
            <w:vAlign w:val="center"/>
          </w:tcPr>
          <w:p w14:paraId="1164AB9E">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违反条款</w:t>
            </w:r>
          </w:p>
        </w:tc>
        <w:tc>
          <w:tcPr>
            <w:tcW w:w="7907" w:type="dxa"/>
            <w:gridSpan w:val="2"/>
            <w:noWrap w:val="0"/>
            <w:vAlign w:val="center"/>
          </w:tcPr>
          <w:p w14:paraId="2AEC1D7F">
            <w:pPr>
              <w:spacing w:before="20" w:after="20" w:line="300" w:lineRule="auto"/>
              <w:rPr>
                <w:rFonts w:hint="eastAsia" w:ascii="宋体" w:hAnsi="宋体" w:eastAsia="宋体"/>
                <w:b/>
                <w:bCs w:val="0"/>
                <w:sz w:val="21"/>
                <w:szCs w:val="21"/>
              </w:rPr>
            </w:pPr>
            <w:r>
              <w:rPr>
                <w:rFonts w:ascii="宋体" w:hAnsi="宋体" w:eastAsia="宋体"/>
                <w:b/>
                <w:bCs w:val="0"/>
                <w:sz w:val="21"/>
                <w:szCs w:val="21"/>
              </w:rPr>
              <w:t>1.《中华人民共和国生态环境法典》第二百五十条第二款</w:t>
            </w:r>
            <w:r>
              <w:rPr>
                <w:rFonts w:hint="eastAsia" w:ascii="宋体" w:hAnsi="宋体" w:eastAsia="宋体"/>
                <w:b/>
                <w:bCs w:val="0"/>
                <w:sz w:val="21"/>
                <w:szCs w:val="21"/>
              </w:rPr>
              <w:t xml:space="preserve"> </w:t>
            </w:r>
            <w:r>
              <w:rPr>
                <w:rFonts w:ascii="宋体" w:hAnsi="宋体" w:eastAsia="宋体"/>
                <w:b/>
                <w:bCs w:val="0"/>
                <w:sz w:val="21"/>
                <w:szCs w:val="21"/>
              </w:rPr>
              <w:t>禁止在居民住宅楼、未配套设立专用烟道的商住综合楼以及商住综合楼内与居住层相邻的商业楼层内新建、改建、扩建产生油烟、异味、废气的餐饮服务项目。</w:t>
            </w:r>
          </w:p>
          <w:p w14:paraId="7738679B">
            <w:pPr>
              <w:spacing w:before="20" w:after="20" w:line="300" w:lineRule="auto"/>
              <w:rPr>
                <w:rFonts w:hint="eastAsia" w:ascii="宋体" w:hAnsi="宋体" w:eastAsia="宋体"/>
                <w:b/>
                <w:bCs w:val="0"/>
                <w:color w:val="auto"/>
                <w:sz w:val="21"/>
                <w:szCs w:val="21"/>
              </w:rPr>
            </w:pPr>
            <w:r>
              <w:rPr>
                <w:rFonts w:hint="eastAsia" w:ascii="宋体" w:hAnsi="宋体" w:eastAsia="宋体"/>
                <w:b/>
                <w:bCs w:val="0"/>
                <w:color w:val="auto"/>
                <w:sz w:val="21"/>
                <w:szCs w:val="21"/>
              </w:rPr>
              <w:t>2.《昆明市大气污染防治条例》</w:t>
            </w:r>
            <w:r>
              <w:rPr>
                <w:rFonts w:ascii="宋体" w:hAnsi="宋体" w:eastAsia="宋体"/>
                <w:b/>
                <w:bCs w:val="0"/>
                <w:color w:val="auto"/>
                <w:sz w:val="21"/>
                <w:szCs w:val="21"/>
              </w:rPr>
              <w:t>（2026修订版）</w:t>
            </w:r>
            <w:r>
              <w:rPr>
                <w:rFonts w:hint="eastAsia" w:ascii="宋体" w:hAnsi="宋体" w:eastAsia="宋体"/>
                <w:b/>
                <w:bCs w:val="0"/>
                <w:color w:val="auto"/>
                <w:sz w:val="21"/>
                <w:szCs w:val="21"/>
              </w:rPr>
              <w:t>第四十五条第二款 禁止在居民住宅楼、未配套设立专用烟道的商住综合楼以及商住综合楼内与居住层相邻的商业楼层内新建、改建、扩建产生油烟、异味、废气的餐饮服务项目。</w:t>
            </w:r>
          </w:p>
          <w:p w14:paraId="11FFC141">
            <w:pPr>
              <w:spacing w:before="20" w:after="20" w:line="300" w:lineRule="auto"/>
              <w:rPr>
                <w:rFonts w:hint="eastAsia" w:ascii="宋体" w:hAnsi="宋体" w:eastAsia="宋体"/>
                <w:b/>
                <w:bCs w:val="0"/>
                <w:sz w:val="21"/>
                <w:szCs w:val="21"/>
              </w:rPr>
            </w:pPr>
            <w:r>
              <w:rPr>
                <w:rFonts w:hint="eastAsia" w:ascii="宋体" w:hAnsi="宋体" w:eastAsia="宋体"/>
                <w:b/>
                <w:bCs w:val="0"/>
                <w:sz w:val="21"/>
                <w:szCs w:val="21"/>
              </w:rPr>
              <w:t>3.《</w:t>
            </w:r>
            <w:bookmarkStart w:id="21" w:name="OLE_LINK6"/>
            <w:r>
              <w:rPr>
                <w:rFonts w:hint="eastAsia" w:ascii="宋体" w:hAnsi="宋体" w:eastAsia="宋体"/>
                <w:b/>
                <w:bCs w:val="0"/>
                <w:sz w:val="21"/>
                <w:szCs w:val="21"/>
              </w:rPr>
              <w:t>昆明市餐饮业环境污染防治管理办法</w:t>
            </w:r>
            <w:bookmarkEnd w:id="21"/>
            <w:r>
              <w:rPr>
                <w:rFonts w:hint="eastAsia" w:ascii="宋体" w:hAnsi="宋体" w:eastAsia="宋体"/>
                <w:b/>
                <w:bCs w:val="0"/>
                <w:sz w:val="21"/>
                <w:szCs w:val="21"/>
              </w:rPr>
              <w:t>》第八条 严禁在下列区域或者场所新建、改建、扩建产生油烟、异味、废气等污染的餐饮业项目：（一）居民住宅楼；（二）未配套设立专用烟道的商住综合楼；（三）商住综合楼内与居住层相邻的商业楼层。（四）饮用水水源保护区、自然保护区、出入滇池河道管理范围内的船舶、船坞等水上设施以及其他需要特殊保护区域的禁建区。</w:t>
            </w:r>
          </w:p>
        </w:tc>
      </w:tr>
      <w:tr w14:paraId="020A5EFD">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19" w:type="dxa"/>
            <w:noWrap w:val="0"/>
            <w:vAlign w:val="center"/>
          </w:tcPr>
          <w:p w14:paraId="45E671E7">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处罚依据</w:t>
            </w:r>
          </w:p>
        </w:tc>
        <w:tc>
          <w:tcPr>
            <w:tcW w:w="7907" w:type="dxa"/>
            <w:gridSpan w:val="2"/>
            <w:noWrap w:val="0"/>
            <w:vAlign w:val="center"/>
          </w:tcPr>
          <w:p w14:paraId="53DBB7CE">
            <w:pPr>
              <w:spacing w:before="20" w:after="20" w:line="300" w:lineRule="auto"/>
              <w:rPr>
                <w:rFonts w:hint="eastAsia" w:ascii="宋体" w:hAnsi="宋体" w:eastAsia="宋体"/>
                <w:b/>
                <w:bCs w:val="0"/>
                <w:sz w:val="21"/>
                <w:szCs w:val="21"/>
              </w:rPr>
            </w:pPr>
            <w:r>
              <w:rPr>
                <w:rFonts w:ascii="宋体" w:hAnsi="宋体" w:eastAsia="宋体"/>
                <w:b/>
                <w:bCs w:val="0"/>
                <w:sz w:val="21"/>
                <w:szCs w:val="21"/>
              </w:rPr>
              <w:t>1.《中华人民共和国生态环境法典》第一千一百三十二条第二款</w:t>
            </w:r>
            <w:r>
              <w:rPr>
                <w:rFonts w:hint="eastAsia" w:ascii="宋体" w:hAnsi="宋体" w:eastAsia="宋体"/>
                <w:b/>
                <w:bCs w:val="0"/>
                <w:sz w:val="21"/>
                <w:szCs w:val="21"/>
              </w:rPr>
              <w:t xml:space="preserve"> </w:t>
            </w:r>
            <w:r>
              <w:rPr>
                <w:rFonts w:ascii="宋体" w:hAnsi="宋体" w:eastAsia="宋体"/>
                <w:b/>
                <w:bCs w:val="0"/>
                <w:sz w:val="21"/>
                <w:szCs w:val="21"/>
              </w:rPr>
              <w:t>违反本法规定，在居民住宅楼、未配套设立专用烟道的商住综合楼、商住综合楼内与居住层相邻的商业楼层内新建、改建、扩建产生油烟、异味、废气的餐饮服务项目的，由县级以上地方人民政府确定的监督管理部门责令改正；拒不改正的，责令关闭，并处一万元以上十万元以下的罚款。</w:t>
            </w:r>
          </w:p>
          <w:p w14:paraId="523B0254">
            <w:pPr>
              <w:spacing w:before="20" w:after="20" w:line="300" w:lineRule="auto"/>
              <w:rPr>
                <w:rFonts w:hint="eastAsia" w:ascii="宋体" w:hAnsi="宋体" w:eastAsia="宋体"/>
                <w:b/>
                <w:bCs w:val="0"/>
                <w:color w:val="auto"/>
                <w:sz w:val="21"/>
                <w:szCs w:val="21"/>
              </w:rPr>
            </w:pPr>
            <w:r>
              <w:rPr>
                <w:rFonts w:ascii="宋体" w:hAnsi="宋体" w:eastAsia="宋体"/>
                <w:b/>
                <w:bCs w:val="0"/>
                <w:color w:val="auto"/>
                <w:sz w:val="21"/>
                <w:szCs w:val="21"/>
              </w:rPr>
              <w:t>2.《昆明市大气污染防治条例》（2026修订版）第六十二条第二款</w:t>
            </w:r>
            <w:r>
              <w:rPr>
                <w:rFonts w:hint="eastAsia" w:ascii="宋体" w:hAnsi="宋体" w:eastAsia="宋体"/>
                <w:b/>
                <w:bCs w:val="0"/>
                <w:color w:val="auto"/>
                <w:sz w:val="21"/>
                <w:szCs w:val="21"/>
              </w:rPr>
              <w:t xml:space="preserve"> </w:t>
            </w:r>
            <w:r>
              <w:rPr>
                <w:rFonts w:ascii="宋体" w:hAnsi="宋体" w:eastAsia="宋体"/>
                <w:b/>
                <w:bCs w:val="0"/>
                <w:color w:val="auto"/>
                <w:sz w:val="21"/>
                <w:szCs w:val="21"/>
              </w:rPr>
              <w:t>违反本条例规定，在居民住宅楼、未配套设立专用烟道的商住综合楼以及商住综合楼内与居住层相邻的商业楼层内新建、改建、扩建产生油烟、异味、废气的餐饮服务项目的，由生态环境、市场监管等主管部门责令改正；拒不改正的，</w:t>
            </w:r>
            <w:r>
              <w:rPr>
                <w:rFonts w:hint="eastAsia" w:ascii="宋体" w:hAnsi="宋体" w:eastAsia="宋体"/>
                <w:b/>
                <w:bCs w:val="0"/>
                <w:color w:val="auto"/>
                <w:sz w:val="21"/>
                <w:szCs w:val="21"/>
              </w:rPr>
              <w:t>责令</w:t>
            </w:r>
            <w:r>
              <w:rPr>
                <w:rFonts w:ascii="宋体" w:hAnsi="宋体" w:eastAsia="宋体"/>
                <w:b/>
                <w:bCs w:val="0"/>
                <w:color w:val="auto"/>
                <w:sz w:val="21"/>
                <w:szCs w:val="21"/>
              </w:rPr>
              <w:t>关闭，并处1万元以上10万元以下罚款。</w:t>
            </w:r>
          </w:p>
          <w:p w14:paraId="7851E244">
            <w:pPr>
              <w:spacing w:before="20" w:after="20" w:line="300" w:lineRule="auto"/>
              <w:rPr>
                <w:rFonts w:hint="eastAsia" w:ascii="宋体" w:hAnsi="宋体" w:eastAsia="宋体"/>
                <w:b/>
                <w:bCs w:val="0"/>
                <w:sz w:val="21"/>
                <w:szCs w:val="21"/>
              </w:rPr>
            </w:pPr>
            <w:r>
              <w:rPr>
                <w:rFonts w:hint="eastAsia" w:ascii="宋体" w:hAnsi="宋体" w:eastAsia="宋体"/>
                <w:b/>
                <w:bCs w:val="0"/>
                <w:sz w:val="21"/>
                <w:szCs w:val="21"/>
              </w:rPr>
              <w:t>3.《昆明市餐饮业环境污染防治管理办法》第十六条 违反本办法第八条第一、二、三项规定的，由县（市、区）生态环境行政主管部门责令改正；拒不改正的，责令关闭，并处1万元以上10万元以下罚款。</w:t>
            </w:r>
          </w:p>
        </w:tc>
      </w:tr>
      <w:tr w14:paraId="5D421E40">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19" w:type="dxa"/>
            <w:noWrap w:val="0"/>
            <w:vAlign w:val="center"/>
          </w:tcPr>
          <w:p w14:paraId="514E0F19">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裁量因素</w:t>
            </w:r>
          </w:p>
        </w:tc>
        <w:tc>
          <w:tcPr>
            <w:tcW w:w="6946" w:type="dxa"/>
            <w:noWrap w:val="0"/>
            <w:vAlign w:val="center"/>
          </w:tcPr>
          <w:p w14:paraId="69FD7E86">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裁量因子</w:t>
            </w:r>
          </w:p>
        </w:tc>
        <w:tc>
          <w:tcPr>
            <w:tcW w:w="961" w:type="dxa"/>
            <w:noWrap w:val="0"/>
            <w:vAlign w:val="center"/>
          </w:tcPr>
          <w:p w14:paraId="48C6E50D">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裁量等级</w:t>
            </w:r>
          </w:p>
        </w:tc>
      </w:tr>
      <w:tr w14:paraId="7D0E5509">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19" w:type="dxa"/>
            <w:vMerge w:val="restart"/>
            <w:noWrap w:val="0"/>
            <w:vAlign w:val="center"/>
          </w:tcPr>
          <w:p w14:paraId="29DD6E1B">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违法情形</w:t>
            </w:r>
          </w:p>
        </w:tc>
        <w:tc>
          <w:tcPr>
            <w:tcW w:w="6946" w:type="dxa"/>
            <w:noWrap w:val="0"/>
            <w:vAlign w:val="center"/>
          </w:tcPr>
          <w:p w14:paraId="171A5856">
            <w:pPr>
              <w:spacing w:before="20" w:after="20" w:line="300" w:lineRule="auto"/>
              <w:rPr>
                <w:rFonts w:hint="eastAsia" w:ascii="宋体" w:hAnsi="宋体" w:eastAsia="宋体"/>
                <w:b/>
                <w:bCs w:val="0"/>
                <w:sz w:val="21"/>
                <w:szCs w:val="21"/>
              </w:rPr>
            </w:pPr>
            <w:r>
              <w:rPr>
                <w:rFonts w:ascii="宋体" w:hAnsi="宋体" w:eastAsia="宋体"/>
                <w:b/>
                <w:bCs w:val="0"/>
                <w:sz w:val="21"/>
                <w:szCs w:val="21"/>
              </w:rPr>
              <w:t>改建</w:t>
            </w:r>
          </w:p>
        </w:tc>
        <w:tc>
          <w:tcPr>
            <w:tcW w:w="961" w:type="dxa"/>
            <w:noWrap w:val="0"/>
            <w:vAlign w:val="center"/>
          </w:tcPr>
          <w:p w14:paraId="76C552F8">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1</w:t>
            </w:r>
          </w:p>
        </w:tc>
      </w:tr>
      <w:tr w14:paraId="3424FC47">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19" w:type="dxa"/>
            <w:vMerge w:val="continue"/>
            <w:noWrap w:val="0"/>
            <w:vAlign w:val="center"/>
          </w:tcPr>
          <w:p w14:paraId="20255340">
            <w:pPr>
              <w:spacing w:before="20" w:after="20" w:line="300" w:lineRule="auto"/>
              <w:rPr>
                <w:rFonts w:hint="eastAsia" w:ascii="宋体" w:hAnsi="宋体" w:eastAsia="宋体"/>
                <w:b/>
                <w:bCs w:val="0"/>
                <w:sz w:val="21"/>
                <w:szCs w:val="21"/>
              </w:rPr>
            </w:pPr>
          </w:p>
        </w:tc>
        <w:tc>
          <w:tcPr>
            <w:tcW w:w="6946" w:type="dxa"/>
            <w:noWrap w:val="0"/>
            <w:vAlign w:val="center"/>
          </w:tcPr>
          <w:p w14:paraId="3359BE8D">
            <w:pPr>
              <w:spacing w:before="20" w:after="20" w:line="300" w:lineRule="auto"/>
              <w:rPr>
                <w:rFonts w:hint="eastAsia" w:ascii="宋体" w:hAnsi="宋体" w:eastAsia="宋体"/>
                <w:b/>
                <w:bCs w:val="0"/>
                <w:sz w:val="21"/>
                <w:szCs w:val="21"/>
              </w:rPr>
            </w:pPr>
            <w:r>
              <w:rPr>
                <w:rFonts w:ascii="宋体" w:hAnsi="宋体" w:eastAsia="宋体"/>
                <w:b/>
                <w:bCs w:val="0"/>
                <w:sz w:val="21"/>
                <w:szCs w:val="21"/>
              </w:rPr>
              <w:t>扩建</w:t>
            </w:r>
          </w:p>
        </w:tc>
        <w:tc>
          <w:tcPr>
            <w:tcW w:w="961" w:type="dxa"/>
            <w:noWrap w:val="0"/>
            <w:vAlign w:val="center"/>
          </w:tcPr>
          <w:p w14:paraId="6CEA7A46">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3</w:t>
            </w:r>
          </w:p>
        </w:tc>
      </w:tr>
      <w:tr w14:paraId="552EEB97">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19" w:type="dxa"/>
            <w:vMerge w:val="continue"/>
            <w:noWrap w:val="0"/>
            <w:vAlign w:val="center"/>
          </w:tcPr>
          <w:p w14:paraId="548D6E11">
            <w:pPr>
              <w:spacing w:before="20" w:after="20" w:line="300" w:lineRule="auto"/>
              <w:rPr>
                <w:rFonts w:hint="eastAsia" w:ascii="宋体" w:hAnsi="宋体" w:eastAsia="宋体"/>
                <w:b/>
                <w:bCs w:val="0"/>
                <w:sz w:val="21"/>
                <w:szCs w:val="21"/>
              </w:rPr>
            </w:pPr>
          </w:p>
        </w:tc>
        <w:tc>
          <w:tcPr>
            <w:tcW w:w="6946" w:type="dxa"/>
            <w:noWrap w:val="0"/>
            <w:vAlign w:val="center"/>
          </w:tcPr>
          <w:p w14:paraId="11EDE76C">
            <w:pPr>
              <w:spacing w:before="20" w:after="20" w:line="300" w:lineRule="auto"/>
              <w:rPr>
                <w:rFonts w:hint="eastAsia" w:ascii="宋体" w:hAnsi="宋体" w:eastAsia="宋体"/>
                <w:b/>
                <w:bCs w:val="0"/>
                <w:sz w:val="21"/>
                <w:szCs w:val="21"/>
              </w:rPr>
            </w:pPr>
            <w:r>
              <w:rPr>
                <w:rFonts w:ascii="宋体" w:hAnsi="宋体" w:eastAsia="宋体"/>
                <w:b/>
                <w:bCs w:val="0"/>
                <w:sz w:val="21"/>
                <w:szCs w:val="21"/>
              </w:rPr>
              <w:t>新建</w:t>
            </w:r>
          </w:p>
        </w:tc>
        <w:tc>
          <w:tcPr>
            <w:tcW w:w="961" w:type="dxa"/>
            <w:noWrap w:val="0"/>
            <w:vAlign w:val="center"/>
          </w:tcPr>
          <w:p w14:paraId="6159B82D">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5</w:t>
            </w:r>
          </w:p>
        </w:tc>
      </w:tr>
      <w:tr w14:paraId="37823E75">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19" w:type="dxa"/>
            <w:vMerge w:val="restart"/>
            <w:noWrap w:val="0"/>
            <w:vAlign w:val="center"/>
          </w:tcPr>
          <w:p w14:paraId="3BC4FDA7">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违法事实</w:t>
            </w:r>
          </w:p>
        </w:tc>
        <w:tc>
          <w:tcPr>
            <w:tcW w:w="6946" w:type="dxa"/>
            <w:noWrap w:val="0"/>
            <w:vAlign w:val="center"/>
          </w:tcPr>
          <w:p w14:paraId="28228174">
            <w:pPr>
              <w:spacing w:before="20" w:after="20" w:line="300" w:lineRule="auto"/>
              <w:rPr>
                <w:rFonts w:hint="eastAsia" w:ascii="宋体" w:hAnsi="宋体" w:eastAsia="宋体"/>
                <w:b/>
                <w:bCs w:val="0"/>
                <w:sz w:val="21"/>
                <w:szCs w:val="21"/>
              </w:rPr>
            </w:pPr>
            <w:r>
              <w:rPr>
                <w:rFonts w:ascii="宋体" w:hAnsi="宋体" w:eastAsia="宋体"/>
                <w:b/>
                <w:bCs w:val="0"/>
                <w:sz w:val="21"/>
                <w:szCs w:val="21"/>
              </w:rPr>
              <w:t>正在新建、改建、扩建，或虽已完成新、改、扩建，但尚未开始投入使用</w:t>
            </w:r>
          </w:p>
        </w:tc>
        <w:tc>
          <w:tcPr>
            <w:tcW w:w="961" w:type="dxa"/>
            <w:noWrap w:val="0"/>
            <w:vAlign w:val="center"/>
          </w:tcPr>
          <w:p w14:paraId="48B7A5FC">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1</w:t>
            </w:r>
          </w:p>
        </w:tc>
      </w:tr>
      <w:tr w14:paraId="528E35A0">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19" w:type="dxa"/>
            <w:vMerge w:val="continue"/>
            <w:noWrap w:val="0"/>
            <w:vAlign w:val="center"/>
          </w:tcPr>
          <w:p w14:paraId="5CDF48B5">
            <w:pPr>
              <w:spacing w:before="20" w:after="20" w:line="300" w:lineRule="auto"/>
              <w:rPr>
                <w:rFonts w:hint="eastAsia" w:ascii="宋体" w:hAnsi="宋体" w:eastAsia="宋体"/>
                <w:b/>
                <w:bCs w:val="0"/>
                <w:sz w:val="21"/>
                <w:szCs w:val="21"/>
              </w:rPr>
            </w:pPr>
          </w:p>
        </w:tc>
        <w:tc>
          <w:tcPr>
            <w:tcW w:w="6946" w:type="dxa"/>
            <w:noWrap w:val="0"/>
            <w:vAlign w:val="center"/>
          </w:tcPr>
          <w:p w14:paraId="597E39E2">
            <w:pPr>
              <w:spacing w:before="20" w:after="20" w:line="300" w:lineRule="auto"/>
              <w:rPr>
                <w:rFonts w:hint="eastAsia" w:ascii="宋体" w:hAnsi="宋体" w:eastAsia="宋体"/>
                <w:b/>
                <w:bCs w:val="0"/>
                <w:sz w:val="21"/>
                <w:szCs w:val="21"/>
              </w:rPr>
            </w:pPr>
            <w:r>
              <w:rPr>
                <w:rFonts w:ascii="宋体" w:hAnsi="宋体" w:eastAsia="宋体"/>
                <w:b/>
                <w:bCs w:val="0"/>
                <w:sz w:val="21"/>
                <w:szCs w:val="21"/>
              </w:rPr>
              <w:t>已完成新建、改建、扩建并投入使用，但已按规范设置集气罩、排风管道和排风机，并采取安装油烟净化设施等措施，且达到国家和地方大气污染物排放标准</w:t>
            </w:r>
          </w:p>
        </w:tc>
        <w:tc>
          <w:tcPr>
            <w:tcW w:w="961" w:type="dxa"/>
            <w:noWrap w:val="0"/>
            <w:vAlign w:val="center"/>
          </w:tcPr>
          <w:p w14:paraId="40DAB022">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3</w:t>
            </w:r>
          </w:p>
        </w:tc>
      </w:tr>
      <w:tr w14:paraId="07205E7F">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19" w:type="dxa"/>
            <w:vMerge w:val="continue"/>
            <w:noWrap w:val="0"/>
            <w:vAlign w:val="center"/>
          </w:tcPr>
          <w:p w14:paraId="08B9442C">
            <w:pPr>
              <w:spacing w:before="20" w:after="20" w:line="300" w:lineRule="auto"/>
              <w:rPr>
                <w:rFonts w:hint="eastAsia" w:ascii="宋体" w:hAnsi="宋体" w:eastAsia="宋体"/>
                <w:b/>
                <w:bCs w:val="0"/>
                <w:sz w:val="21"/>
                <w:szCs w:val="21"/>
              </w:rPr>
            </w:pPr>
          </w:p>
        </w:tc>
        <w:tc>
          <w:tcPr>
            <w:tcW w:w="6946" w:type="dxa"/>
            <w:noWrap w:val="0"/>
            <w:vAlign w:val="center"/>
          </w:tcPr>
          <w:p w14:paraId="706F3CCA">
            <w:pPr>
              <w:spacing w:before="20" w:after="20" w:line="300" w:lineRule="auto"/>
              <w:rPr>
                <w:rFonts w:hint="eastAsia" w:ascii="宋体" w:hAnsi="宋体" w:eastAsia="宋体"/>
                <w:b/>
                <w:bCs w:val="0"/>
                <w:sz w:val="21"/>
                <w:szCs w:val="21"/>
              </w:rPr>
            </w:pPr>
            <w:r>
              <w:rPr>
                <w:rFonts w:ascii="宋体" w:hAnsi="宋体" w:eastAsia="宋体"/>
                <w:b/>
                <w:bCs w:val="0"/>
                <w:sz w:val="21"/>
                <w:szCs w:val="21"/>
              </w:rPr>
              <w:t>已完成新建、改建、扩建，未按规范设置集气罩、排风管道和排风机即投入使用，或虽设置但设置不规范，超过国家和地方大气污染物排放标准</w:t>
            </w:r>
          </w:p>
        </w:tc>
        <w:tc>
          <w:tcPr>
            <w:tcW w:w="961" w:type="dxa"/>
            <w:noWrap w:val="0"/>
            <w:vAlign w:val="center"/>
          </w:tcPr>
          <w:p w14:paraId="1EDB93EE">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4</w:t>
            </w:r>
          </w:p>
        </w:tc>
      </w:tr>
      <w:tr w14:paraId="72BB8088">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19" w:type="dxa"/>
            <w:vMerge w:val="restart"/>
            <w:noWrap w:val="0"/>
            <w:vAlign w:val="center"/>
          </w:tcPr>
          <w:p w14:paraId="2484E622">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违法行为持续时间</w:t>
            </w:r>
          </w:p>
        </w:tc>
        <w:tc>
          <w:tcPr>
            <w:tcW w:w="6946" w:type="dxa"/>
            <w:noWrap w:val="0"/>
            <w:vAlign w:val="center"/>
          </w:tcPr>
          <w:p w14:paraId="627ED284">
            <w:pPr>
              <w:spacing w:before="20" w:after="20" w:line="300" w:lineRule="auto"/>
              <w:rPr>
                <w:rFonts w:hint="eastAsia" w:ascii="宋体" w:hAnsi="宋体" w:eastAsia="宋体"/>
                <w:b/>
                <w:bCs w:val="0"/>
                <w:sz w:val="21"/>
                <w:szCs w:val="21"/>
              </w:rPr>
            </w:pPr>
            <w:r>
              <w:rPr>
                <w:rFonts w:ascii="宋体" w:hAnsi="宋体" w:eastAsia="宋体"/>
                <w:b/>
                <w:bCs w:val="0"/>
                <w:sz w:val="21"/>
                <w:szCs w:val="21"/>
              </w:rPr>
              <w:t>不足3个月</w:t>
            </w:r>
          </w:p>
        </w:tc>
        <w:tc>
          <w:tcPr>
            <w:tcW w:w="961" w:type="dxa"/>
            <w:noWrap w:val="0"/>
            <w:vAlign w:val="center"/>
          </w:tcPr>
          <w:p w14:paraId="76E5ED98">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1</w:t>
            </w:r>
          </w:p>
        </w:tc>
      </w:tr>
      <w:tr w14:paraId="4C811164">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19" w:type="dxa"/>
            <w:vMerge w:val="continue"/>
            <w:noWrap w:val="0"/>
            <w:vAlign w:val="center"/>
          </w:tcPr>
          <w:p w14:paraId="0FE851C9">
            <w:pPr>
              <w:spacing w:before="20" w:after="20" w:line="300" w:lineRule="auto"/>
              <w:rPr>
                <w:rFonts w:hint="eastAsia" w:ascii="宋体" w:hAnsi="宋体" w:eastAsia="宋体"/>
                <w:b/>
                <w:bCs w:val="0"/>
                <w:sz w:val="21"/>
                <w:szCs w:val="21"/>
              </w:rPr>
            </w:pPr>
          </w:p>
        </w:tc>
        <w:tc>
          <w:tcPr>
            <w:tcW w:w="6946" w:type="dxa"/>
            <w:noWrap w:val="0"/>
            <w:vAlign w:val="center"/>
          </w:tcPr>
          <w:p w14:paraId="4FEBA3F1">
            <w:pPr>
              <w:spacing w:before="20" w:after="20" w:line="300" w:lineRule="auto"/>
              <w:rPr>
                <w:rFonts w:hint="eastAsia" w:ascii="宋体" w:hAnsi="宋体" w:eastAsia="宋体"/>
                <w:b/>
                <w:bCs w:val="0"/>
                <w:sz w:val="21"/>
                <w:szCs w:val="21"/>
              </w:rPr>
            </w:pPr>
            <w:r>
              <w:rPr>
                <w:rFonts w:ascii="宋体" w:hAnsi="宋体" w:eastAsia="宋体"/>
                <w:b/>
                <w:bCs w:val="0"/>
                <w:sz w:val="21"/>
                <w:szCs w:val="21"/>
              </w:rPr>
              <w:t>3个月以上不足6个月</w:t>
            </w:r>
          </w:p>
        </w:tc>
        <w:tc>
          <w:tcPr>
            <w:tcW w:w="961" w:type="dxa"/>
            <w:noWrap w:val="0"/>
            <w:vAlign w:val="center"/>
          </w:tcPr>
          <w:p w14:paraId="441B8641">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2</w:t>
            </w:r>
          </w:p>
        </w:tc>
      </w:tr>
      <w:tr w14:paraId="7515E282">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19" w:type="dxa"/>
            <w:vMerge w:val="continue"/>
            <w:noWrap w:val="0"/>
            <w:vAlign w:val="center"/>
          </w:tcPr>
          <w:p w14:paraId="1258E8B3">
            <w:pPr>
              <w:spacing w:before="20" w:after="20" w:line="300" w:lineRule="auto"/>
              <w:rPr>
                <w:rFonts w:hint="eastAsia" w:ascii="宋体" w:hAnsi="宋体" w:eastAsia="宋体"/>
                <w:b/>
                <w:bCs w:val="0"/>
                <w:sz w:val="21"/>
                <w:szCs w:val="21"/>
              </w:rPr>
            </w:pPr>
          </w:p>
        </w:tc>
        <w:tc>
          <w:tcPr>
            <w:tcW w:w="6946" w:type="dxa"/>
            <w:noWrap w:val="0"/>
            <w:vAlign w:val="center"/>
          </w:tcPr>
          <w:p w14:paraId="48805103">
            <w:pPr>
              <w:spacing w:before="20" w:after="20" w:line="300" w:lineRule="auto"/>
              <w:rPr>
                <w:rFonts w:hint="eastAsia" w:ascii="宋体" w:hAnsi="宋体" w:eastAsia="宋体"/>
                <w:b/>
                <w:bCs w:val="0"/>
                <w:sz w:val="21"/>
                <w:szCs w:val="21"/>
              </w:rPr>
            </w:pPr>
            <w:r>
              <w:rPr>
                <w:rFonts w:ascii="宋体" w:hAnsi="宋体" w:eastAsia="宋体"/>
                <w:b/>
                <w:bCs w:val="0"/>
                <w:sz w:val="21"/>
                <w:szCs w:val="21"/>
              </w:rPr>
              <w:t>6个月以上不足1年</w:t>
            </w:r>
          </w:p>
        </w:tc>
        <w:tc>
          <w:tcPr>
            <w:tcW w:w="961" w:type="dxa"/>
            <w:noWrap w:val="0"/>
            <w:vAlign w:val="center"/>
          </w:tcPr>
          <w:p w14:paraId="38DB224C">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3</w:t>
            </w:r>
          </w:p>
        </w:tc>
      </w:tr>
      <w:tr w14:paraId="6C51C6D9">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19" w:type="dxa"/>
            <w:vMerge w:val="continue"/>
            <w:noWrap w:val="0"/>
            <w:vAlign w:val="center"/>
          </w:tcPr>
          <w:p w14:paraId="6E78828F">
            <w:pPr>
              <w:spacing w:before="20" w:after="20" w:line="300" w:lineRule="auto"/>
              <w:rPr>
                <w:rFonts w:hint="eastAsia" w:ascii="宋体" w:hAnsi="宋体" w:eastAsia="宋体"/>
                <w:b/>
                <w:bCs w:val="0"/>
                <w:sz w:val="21"/>
                <w:szCs w:val="21"/>
              </w:rPr>
            </w:pPr>
          </w:p>
        </w:tc>
        <w:tc>
          <w:tcPr>
            <w:tcW w:w="6946" w:type="dxa"/>
            <w:noWrap w:val="0"/>
            <w:vAlign w:val="center"/>
          </w:tcPr>
          <w:p w14:paraId="156A2EFE">
            <w:pPr>
              <w:spacing w:before="20" w:after="20" w:line="300" w:lineRule="auto"/>
              <w:rPr>
                <w:rFonts w:hint="eastAsia" w:ascii="宋体" w:hAnsi="宋体" w:eastAsia="宋体"/>
                <w:b/>
                <w:bCs w:val="0"/>
                <w:sz w:val="21"/>
                <w:szCs w:val="21"/>
              </w:rPr>
            </w:pPr>
            <w:r>
              <w:rPr>
                <w:rFonts w:ascii="宋体" w:hAnsi="宋体" w:eastAsia="宋体"/>
                <w:b/>
                <w:bCs w:val="0"/>
                <w:sz w:val="21"/>
                <w:szCs w:val="21"/>
              </w:rPr>
              <w:t>1年以上不足2年</w:t>
            </w:r>
          </w:p>
        </w:tc>
        <w:tc>
          <w:tcPr>
            <w:tcW w:w="961" w:type="dxa"/>
            <w:noWrap w:val="0"/>
            <w:vAlign w:val="center"/>
          </w:tcPr>
          <w:p w14:paraId="7F2C139C">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4</w:t>
            </w:r>
          </w:p>
        </w:tc>
      </w:tr>
      <w:tr w14:paraId="436C45C7">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19" w:type="dxa"/>
            <w:vMerge w:val="continue"/>
            <w:noWrap w:val="0"/>
            <w:vAlign w:val="center"/>
          </w:tcPr>
          <w:p w14:paraId="38C6484F">
            <w:pPr>
              <w:spacing w:before="20" w:after="20" w:line="300" w:lineRule="auto"/>
              <w:rPr>
                <w:rFonts w:hint="eastAsia" w:ascii="宋体" w:hAnsi="宋体" w:eastAsia="宋体"/>
                <w:b/>
                <w:bCs w:val="0"/>
                <w:sz w:val="21"/>
                <w:szCs w:val="21"/>
              </w:rPr>
            </w:pPr>
          </w:p>
        </w:tc>
        <w:tc>
          <w:tcPr>
            <w:tcW w:w="6946" w:type="dxa"/>
            <w:noWrap w:val="0"/>
            <w:vAlign w:val="center"/>
          </w:tcPr>
          <w:p w14:paraId="44BF074C">
            <w:pPr>
              <w:spacing w:before="20" w:after="20" w:line="300" w:lineRule="auto"/>
              <w:rPr>
                <w:rFonts w:hint="eastAsia" w:ascii="宋体" w:hAnsi="宋体" w:eastAsia="宋体"/>
                <w:b/>
                <w:bCs w:val="0"/>
                <w:sz w:val="21"/>
                <w:szCs w:val="21"/>
              </w:rPr>
            </w:pPr>
            <w:r>
              <w:rPr>
                <w:rFonts w:ascii="宋体" w:hAnsi="宋体" w:eastAsia="宋体"/>
                <w:b/>
                <w:bCs w:val="0"/>
                <w:sz w:val="21"/>
                <w:szCs w:val="21"/>
              </w:rPr>
              <w:t>2年以上</w:t>
            </w:r>
          </w:p>
        </w:tc>
        <w:tc>
          <w:tcPr>
            <w:tcW w:w="961" w:type="dxa"/>
            <w:noWrap w:val="0"/>
            <w:vAlign w:val="center"/>
          </w:tcPr>
          <w:p w14:paraId="167B968E">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5</w:t>
            </w:r>
          </w:p>
        </w:tc>
      </w:tr>
      <w:tr w14:paraId="3604A513">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19" w:type="dxa"/>
            <w:vMerge w:val="restart"/>
            <w:noWrap w:val="0"/>
            <w:vAlign w:val="center"/>
          </w:tcPr>
          <w:p w14:paraId="1B3FC983">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超过改正时间</w:t>
            </w:r>
          </w:p>
        </w:tc>
        <w:tc>
          <w:tcPr>
            <w:tcW w:w="6946" w:type="dxa"/>
            <w:noWrap w:val="0"/>
            <w:vAlign w:val="center"/>
          </w:tcPr>
          <w:p w14:paraId="3FD2DD15">
            <w:pPr>
              <w:spacing w:before="20" w:after="20" w:line="300" w:lineRule="auto"/>
              <w:rPr>
                <w:rFonts w:hint="eastAsia" w:ascii="宋体" w:hAnsi="宋体" w:eastAsia="宋体"/>
                <w:b/>
                <w:bCs w:val="0"/>
                <w:sz w:val="21"/>
                <w:szCs w:val="21"/>
              </w:rPr>
            </w:pPr>
            <w:r>
              <w:rPr>
                <w:rFonts w:ascii="宋体" w:hAnsi="宋体" w:eastAsia="宋体"/>
                <w:b/>
                <w:bCs w:val="0"/>
                <w:sz w:val="21"/>
                <w:szCs w:val="21"/>
              </w:rPr>
              <w:t>不足5天</w:t>
            </w:r>
          </w:p>
        </w:tc>
        <w:tc>
          <w:tcPr>
            <w:tcW w:w="961" w:type="dxa"/>
            <w:noWrap w:val="0"/>
            <w:vAlign w:val="center"/>
          </w:tcPr>
          <w:p w14:paraId="2F7E99FC">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1</w:t>
            </w:r>
          </w:p>
        </w:tc>
      </w:tr>
      <w:tr w14:paraId="1C169EF7">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19" w:type="dxa"/>
            <w:vMerge w:val="continue"/>
            <w:noWrap w:val="0"/>
            <w:vAlign w:val="center"/>
          </w:tcPr>
          <w:p w14:paraId="28028772">
            <w:pPr>
              <w:spacing w:before="20" w:after="20" w:line="300" w:lineRule="auto"/>
              <w:rPr>
                <w:rFonts w:hint="eastAsia" w:ascii="宋体" w:hAnsi="宋体" w:eastAsia="宋体"/>
                <w:b/>
                <w:bCs w:val="0"/>
                <w:sz w:val="21"/>
                <w:szCs w:val="21"/>
              </w:rPr>
            </w:pPr>
          </w:p>
        </w:tc>
        <w:tc>
          <w:tcPr>
            <w:tcW w:w="6946" w:type="dxa"/>
            <w:noWrap w:val="0"/>
            <w:vAlign w:val="center"/>
          </w:tcPr>
          <w:p w14:paraId="734C42D0">
            <w:pPr>
              <w:spacing w:before="20" w:after="20" w:line="300" w:lineRule="auto"/>
              <w:rPr>
                <w:rFonts w:hint="eastAsia" w:ascii="宋体" w:hAnsi="宋体" w:eastAsia="宋体"/>
                <w:b/>
                <w:bCs w:val="0"/>
                <w:sz w:val="21"/>
                <w:szCs w:val="21"/>
              </w:rPr>
            </w:pPr>
            <w:r>
              <w:rPr>
                <w:rFonts w:ascii="宋体" w:hAnsi="宋体" w:eastAsia="宋体"/>
                <w:b/>
                <w:bCs w:val="0"/>
                <w:sz w:val="21"/>
                <w:szCs w:val="21"/>
              </w:rPr>
              <w:t>5天以上不足10天</w:t>
            </w:r>
          </w:p>
        </w:tc>
        <w:tc>
          <w:tcPr>
            <w:tcW w:w="961" w:type="dxa"/>
            <w:noWrap w:val="0"/>
            <w:vAlign w:val="center"/>
          </w:tcPr>
          <w:p w14:paraId="533700AC">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2</w:t>
            </w:r>
          </w:p>
        </w:tc>
      </w:tr>
      <w:tr w14:paraId="6868073B">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19" w:type="dxa"/>
            <w:vMerge w:val="continue"/>
            <w:noWrap w:val="0"/>
            <w:vAlign w:val="center"/>
          </w:tcPr>
          <w:p w14:paraId="57FFC74C">
            <w:pPr>
              <w:spacing w:before="20" w:after="20" w:line="300" w:lineRule="auto"/>
              <w:rPr>
                <w:rFonts w:hint="eastAsia" w:ascii="宋体" w:hAnsi="宋体" w:eastAsia="宋体"/>
                <w:b/>
                <w:bCs w:val="0"/>
                <w:sz w:val="21"/>
                <w:szCs w:val="21"/>
              </w:rPr>
            </w:pPr>
          </w:p>
        </w:tc>
        <w:tc>
          <w:tcPr>
            <w:tcW w:w="6946" w:type="dxa"/>
            <w:noWrap w:val="0"/>
            <w:vAlign w:val="center"/>
          </w:tcPr>
          <w:p w14:paraId="47D9F4DA">
            <w:pPr>
              <w:spacing w:before="20" w:after="20" w:line="300" w:lineRule="auto"/>
              <w:rPr>
                <w:rFonts w:hint="eastAsia" w:ascii="宋体" w:hAnsi="宋体" w:eastAsia="宋体"/>
                <w:b/>
                <w:bCs w:val="0"/>
                <w:sz w:val="21"/>
                <w:szCs w:val="21"/>
              </w:rPr>
            </w:pPr>
            <w:r>
              <w:rPr>
                <w:rFonts w:ascii="宋体" w:hAnsi="宋体" w:eastAsia="宋体"/>
                <w:b/>
                <w:bCs w:val="0"/>
                <w:sz w:val="21"/>
                <w:szCs w:val="21"/>
              </w:rPr>
              <w:t>10天以上不足20天</w:t>
            </w:r>
          </w:p>
        </w:tc>
        <w:tc>
          <w:tcPr>
            <w:tcW w:w="961" w:type="dxa"/>
            <w:noWrap w:val="0"/>
            <w:vAlign w:val="center"/>
          </w:tcPr>
          <w:p w14:paraId="26105753">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3</w:t>
            </w:r>
          </w:p>
        </w:tc>
      </w:tr>
      <w:tr w14:paraId="1C129C57">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19" w:type="dxa"/>
            <w:vMerge w:val="continue"/>
            <w:noWrap w:val="0"/>
            <w:vAlign w:val="center"/>
          </w:tcPr>
          <w:p w14:paraId="24FC6D71">
            <w:pPr>
              <w:spacing w:before="20" w:after="20" w:line="300" w:lineRule="auto"/>
              <w:rPr>
                <w:rFonts w:hint="eastAsia" w:ascii="宋体" w:hAnsi="宋体" w:eastAsia="宋体"/>
                <w:b/>
                <w:bCs w:val="0"/>
                <w:sz w:val="21"/>
                <w:szCs w:val="21"/>
              </w:rPr>
            </w:pPr>
          </w:p>
        </w:tc>
        <w:tc>
          <w:tcPr>
            <w:tcW w:w="6946" w:type="dxa"/>
            <w:noWrap w:val="0"/>
            <w:vAlign w:val="center"/>
          </w:tcPr>
          <w:p w14:paraId="6A757FC2">
            <w:pPr>
              <w:spacing w:before="20" w:after="20" w:line="300" w:lineRule="auto"/>
              <w:rPr>
                <w:rFonts w:hint="eastAsia" w:ascii="宋体" w:hAnsi="宋体" w:eastAsia="宋体"/>
                <w:b/>
                <w:bCs w:val="0"/>
                <w:sz w:val="21"/>
                <w:szCs w:val="21"/>
              </w:rPr>
            </w:pPr>
            <w:r>
              <w:rPr>
                <w:rFonts w:ascii="宋体" w:hAnsi="宋体" w:eastAsia="宋体"/>
                <w:b/>
                <w:bCs w:val="0"/>
                <w:sz w:val="21"/>
                <w:szCs w:val="21"/>
              </w:rPr>
              <w:t>20天以上不足1个月</w:t>
            </w:r>
          </w:p>
        </w:tc>
        <w:tc>
          <w:tcPr>
            <w:tcW w:w="961" w:type="dxa"/>
            <w:noWrap w:val="0"/>
            <w:vAlign w:val="center"/>
          </w:tcPr>
          <w:p w14:paraId="783DC94D">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4</w:t>
            </w:r>
          </w:p>
        </w:tc>
      </w:tr>
      <w:tr w14:paraId="7F3744CE">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19" w:type="dxa"/>
            <w:vMerge w:val="continue"/>
            <w:noWrap w:val="0"/>
            <w:vAlign w:val="center"/>
          </w:tcPr>
          <w:p w14:paraId="1A7C3034">
            <w:pPr>
              <w:spacing w:before="20" w:after="20" w:line="300" w:lineRule="auto"/>
              <w:rPr>
                <w:rFonts w:hint="eastAsia" w:ascii="宋体" w:hAnsi="宋体" w:eastAsia="宋体"/>
                <w:b/>
                <w:bCs w:val="0"/>
                <w:sz w:val="21"/>
                <w:szCs w:val="21"/>
              </w:rPr>
            </w:pPr>
          </w:p>
        </w:tc>
        <w:tc>
          <w:tcPr>
            <w:tcW w:w="6946" w:type="dxa"/>
            <w:noWrap w:val="0"/>
            <w:vAlign w:val="center"/>
          </w:tcPr>
          <w:p w14:paraId="42EA241D">
            <w:pPr>
              <w:spacing w:before="20" w:after="20" w:line="300" w:lineRule="auto"/>
              <w:rPr>
                <w:rFonts w:hint="eastAsia" w:ascii="宋体" w:hAnsi="宋体" w:eastAsia="宋体"/>
                <w:b/>
                <w:bCs w:val="0"/>
                <w:sz w:val="21"/>
                <w:szCs w:val="21"/>
              </w:rPr>
            </w:pPr>
            <w:r>
              <w:rPr>
                <w:rFonts w:ascii="宋体" w:hAnsi="宋体" w:eastAsia="宋体"/>
                <w:b/>
                <w:bCs w:val="0"/>
                <w:sz w:val="21"/>
                <w:szCs w:val="21"/>
              </w:rPr>
              <w:t>1个月以上</w:t>
            </w:r>
          </w:p>
        </w:tc>
        <w:tc>
          <w:tcPr>
            <w:tcW w:w="961" w:type="dxa"/>
            <w:noWrap w:val="0"/>
            <w:vAlign w:val="center"/>
          </w:tcPr>
          <w:p w14:paraId="6FB7B681">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5</w:t>
            </w:r>
          </w:p>
        </w:tc>
      </w:tr>
      <w:tr w14:paraId="3EC17D7E">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19" w:type="dxa"/>
            <w:vMerge w:val="restart"/>
            <w:noWrap w:val="0"/>
            <w:vAlign w:val="center"/>
          </w:tcPr>
          <w:p w14:paraId="4F5779EE">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项目规模</w:t>
            </w:r>
          </w:p>
        </w:tc>
        <w:tc>
          <w:tcPr>
            <w:tcW w:w="6946" w:type="dxa"/>
            <w:noWrap w:val="0"/>
            <w:vAlign w:val="center"/>
          </w:tcPr>
          <w:p w14:paraId="178558EF">
            <w:pPr>
              <w:spacing w:before="20" w:after="20" w:line="300" w:lineRule="auto"/>
              <w:rPr>
                <w:rFonts w:hint="eastAsia" w:ascii="宋体" w:hAnsi="宋体" w:eastAsia="宋体"/>
                <w:b/>
                <w:bCs w:val="0"/>
                <w:sz w:val="21"/>
                <w:szCs w:val="21"/>
              </w:rPr>
            </w:pPr>
            <w:r>
              <w:rPr>
                <w:rFonts w:ascii="宋体" w:hAnsi="宋体" w:eastAsia="宋体"/>
                <w:b/>
                <w:bCs w:val="0"/>
                <w:sz w:val="21"/>
                <w:szCs w:val="21"/>
              </w:rPr>
              <w:t>营业面积100平方米以下</w:t>
            </w:r>
          </w:p>
        </w:tc>
        <w:tc>
          <w:tcPr>
            <w:tcW w:w="961" w:type="dxa"/>
            <w:noWrap w:val="0"/>
            <w:vAlign w:val="center"/>
          </w:tcPr>
          <w:p w14:paraId="549C06F1">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2</w:t>
            </w:r>
          </w:p>
        </w:tc>
      </w:tr>
      <w:tr w14:paraId="136E4042">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19" w:type="dxa"/>
            <w:vMerge w:val="continue"/>
            <w:noWrap w:val="0"/>
            <w:vAlign w:val="center"/>
          </w:tcPr>
          <w:p w14:paraId="1DE99BC6">
            <w:pPr>
              <w:spacing w:before="20" w:after="20" w:line="300" w:lineRule="auto"/>
              <w:rPr>
                <w:rFonts w:hint="eastAsia" w:ascii="宋体" w:hAnsi="宋体" w:eastAsia="宋体"/>
                <w:b/>
                <w:bCs w:val="0"/>
                <w:sz w:val="21"/>
                <w:szCs w:val="21"/>
              </w:rPr>
            </w:pPr>
          </w:p>
        </w:tc>
        <w:tc>
          <w:tcPr>
            <w:tcW w:w="6946" w:type="dxa"/>
            <w:noWrap w:val="0"/>
            <w:vAlign w:val="center"/>
          </w:tcPr>
          <w:p w14:paraId="6CBC92D7">
            <w:pPr>
              <w:spacing w:before="20" w:after="20" w:line="300" w:lineRule="auto"/>
              <w:rPr>
                <w:rFonts w:hint="eastAsia" w:ascii="宋体" w:hAnsi="宋体" w:eastAsia="宋体"/>
                <w:b/>
                <w:bCs w:val="0"/>
                <w:sz w:val="21"/>
                <w:szCs w:val="21"/>
              </w:rPr>
            </w:pPr>
            <w:r>
              <w:rPr>
                <w:rFonts w:ascii="宋体" w:hAnsi="宋体" w:eastAsia="宋体"/>
                <w:b/>
                <w:bCs w:val="0"/>
                <w:sz w:val="21"/>
                <w:szCs w:val="21"/>
              </w:rPr>
              <w:t>营业面积超过100平方米，不足300平方米</w:t>
            </w:r>
          </w:p>
        </w:tc>
        <w:tc>
          <w:tcPr>
            <w:tcW w:w="961" w:type="dxa"/>
            <w:noWrap w:val="0"/>
            <w:vAlign w:val="center"/>
          </w:tcPr>
          <w:p w14:paraId="10EA7874">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4</w:t>
            </w:r>
          </w:p>
        </w:tc>
      </w:tr>
      <w:tr w14:paraId="41D169E7">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19" w:type="dxa"/>
            <w:vMerge w:val="continue"/>
            <w:noWrap w:val="0"/>
            <w:vAlign w:val="center"/>
          </w:tcPr>
          <w:p w14:paraId="34D7B5C6">
            <w:pPr>
              <w:spacing w:before="20" w:after="20" w:line="300" w:lineRule="auto"/>
              <w:rPr>
                <w:rFonts w:hint="eastAsia" w:ascii="宋体" w:hAnsi="宋体" w:eastAsia="宋体"/>
                <w:b/>
                <w:bCs w:val="0"/>
                <w:sz w:val="21"/>
                <w:szCs w:val="21"/>
              </w:rPr>
            </w:pPr>
          </w:p>
        </w:tc>
        <w:tc>
          <w:tcPr>
            <w:tcW w:w="6946" w:type="dxa"/>
            <w:noWrap w:val="0"/>
            <w:vAlign w:val="center"/>
          </w:tcPr>
          <w:p w14:paraId="389A16E6">
            <w:pPr>
              <w:spacing w:before="20" w:after="20" w:line="300" w:lineRule="auto"/>
              <w:rPr>
                <w:rFonts w:hint="eastAsia" w:ascii="宋体" w:hAnsi="宋体" w:eastAsia="宋体"/>
                <w:b/>
                <w:bCs w:val="0"/>
                <w:sz w:val="21"/>
                <w:szCs w:val="21"/>
              </w:rPr>
            </w:pPr>
            <w:r>
              <w:rPr>
                <w:rFonts w:ascii="宋体" w:hAnsi="宋体" w:eastAsia="宋体"/>
                <w:b/>
                <w:bCs w:val="0"/>
                <w:sz w:val="21"/>
                <w:szCs w:val="21"/>
              </w:rPr>
              <w:t>营业面积超过300平方米</w:t>
            </w:r>
          </w:p>
        </w:tc>
        <w:tc>
          <w:tcPr>
            <w:tcW w:w="961" w:type="dxa"/>
            <w:noWrap w:val="0"/>
            <w:vAlign w:val="center"/>
          </w:tcPr>
          <w:p w14:paraId="4B09DD94">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5</w:t>
            </w:r>
          </w:p>
        </w:tc>
      </w:tr>
    </w:tbl>
    <w:p w14:paraId="60E43A0F">
      <w:pPr>
        <w:spacing w:before="40" w:after="40" w:line="400" w:lineRule="auto"/>
        <w:jc w:val="both"/>
        <w:rPr>
          <w:rFonts w:hint="default" w:ascii="Times New Roman" w:hAnsi="Times New Roman" w:eastAsia="黑体"/>
          <w:b/>
          <w:sz w:val="24"/>
          <w:lang w:val="en-US" w:eastAsia="zh-CN"/>
        </w:rPr>
      </w:pPr>
      <w:r>
        <w:rPr>
          <w:rFonts w:hint="eastAsia" w:ascii="Times New Roman" w:hAnsi="Times New Roman" w:eastAsia="黑体"/>
          <w:b/>
          <w:sz w:val="24"/>
        </w:rPr>
        <w:t>6</w:t>
      </w:r>
      <w:r>
        <w:rPr>
          <w:rFonts w:ascii="Times New Roman" w:hAnsi="Times New Roman" w:eastAsia="黑体"/>
          <w:b/>
          <w:sz w:val="24"/>
        </w:rPr>
        <w:t>.在禁止时段和区域内露天烧烤食品</w:t>
      </w:r>
      <w:r>
        <w:rPr>
          <w:rFonts w:hint="eastAsia" w:ascii="Times New Roman" w:hAnsi="Times New Roman" w:eastAsia="黑体"/>
          <w:b/>
          <w:sz w:val="24"/>
        </w:rPr>
        <w:t>（需有固定经营场所）</w:t>
      </w:r>
      <w:r>
        <w:rPr>
          <w:rFonts w:ascii="Times New Roman" w:hAnsi="Times New Roman" w:eastAsia="黑体"/>
          <w:b/>
          <w:sz w:val="24"/>
        </w:rPr>
        <w:t>或者为露天烧烤食品提供场地的行为</w:t>
      </w:r>
      <w:r>
        <w:rPr>
          <w:rFonts w:hint="eastAsia" w:ascii="Times New Roman" w:hAnsi="Times New Roman" w:eastAsia="黑体"/>
          <w:b/>
          <w:sz w:val="24"/>
          <w:lang w:eastAsia="zh-CN"/>
        </w:rPr>
        <w:t>（</w:t>
      </w:r>
      <w:r>
        <w:rPr>
          <w:rFonts w:hint="eastAsia" w:ascii="Times New Roman" w:hAnsi="Times New Roman" w:eastAsia="黑体"/>
          <w:b/>
          <w:sz w:val="24"/>
          <w:lang w:val="en-US" w:eastAsia="zh-CN"/>
        </w:rPr>
        <w:t>2024年版保留）</w:t>
      </w:r>
    </w:p>
    <w:tbl>
      <w:tblPr>
        <w:tblStyle w:val="8"/>
        <w:tblW w:w="9026" w:type="dxa"/>
        <w:tblInd w:w="10" w:type="dxa"/>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261"/>
        <w:gridCol w:w="6662"/>
        <w:gridCol w:w="1103"/>
      </w:tblGrid>
      <w:tr w14:paraId="427F28D1">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61" w:type="dxa"/>
            <w:noWrap w:val="0"/>
            <w:vAlign w:val="center"/>
          </w:tcPr>
          <w:p w14:paraId="08FC915D">
            <w:pPr>
              <w:spacing w:before="20" w:after="20" w:line="300" w:lineRule="auto"/>
              <w:jc w:val="center"/>
              <w:rPr>
                <w:rFonts w:hint="eastAsia" w:ascii="宋体" w:hAnsi="宋体" w:eastAsia="宋体"/>
                <w:b/>
                <w:sz w:val="21"/>
                <w:szCs w:val="21"/>
              </w:rPr>
            </w:pPr>
            <w:r>
              <w:rPr>
                <w:rFonts w:ascii="宋体" w:hAnsi="宋体" w:eastAsia="宋体"/>
                <w:b/>
                <w:sz w:val="21"/>
                <w:szCs w:val="21"/>
              </w:rPr>
              <w:t>违反条款</w:t>
            </w:r>
          </w:p>
        </w:tc>
        <w:tc>
          <w:tcPr>
            <w:tcW w:w="7765" w:type="dxa"/>
            <w:gridSpan w:val="2"/>
            <w:noWrap w:val="0"/>
            <w:vAlign w:val="center"/>
          </w:tcPr>
          <w:p w14:paraId="72ECDB76">
            <w:pPr>
              <w:spacing w:before="20" w:after="20" w:line="300" w:lineRule="auto"/>
              <w:rPr>
                <w:rFonts w:hint="eastAsia" w:ascii="宋体" w:hAnsi="宋体" w:eastAsia="宋体"/>
                <w:sz w:val="21"/>
                <w:szCs w:val="21"/>
              </w:rPr>
            </w:pPr>
            <w:r>
              <w:rPr>
                <w:rFonts w:ascii="宋体" w:hAnsi="宋体" w:eastAsia="宋体"/>
                <w:sz w:val="21"/>
                <w:szCs w:val="21"/>
              </w:rPr>
              <w:t>1.《中华人民共和国生态环境法典》第二百五十条第</w:t>
            </w:r>
            <w:r>
              <w:rPr>
                <w:rFonts w:hint="eastAsia" w:ascii="宋体" w:hAnsi="宋体" w:eastAsia="宋体"/>
                <w:sz w:val="21"/>
                <w:szCs w:val="21"/>
              </w:rPr>
              <w:t>四</w:t>
            </w:r>
            <w:r>
              <w:rPr>
                <w:rFonts w:ascii="宋体" w:hAnsi="宋体" w:eastAsia="宋体"/>
                <w:sz w:val="21"/>
                <w:szCs w:val="21"/>
              </w:rPr>
              <w:t>款</w:t>
            </w:r>
            <w:r>
              <w:rPr>
                <w:rFonts w:hint="eastAsia" w:ascii="宋体" w:hAnsi="宋体" w:eastAsia="宋体"/>
                <w:sz w:val="21"/>
                <w:szCs w:val="21"/>
              </w:rPr>
              <w:t xml:space="preserve"> </w:t>
            </w:r>
            <w:r>
              <w:rPr>
                <w:rFonts w:ascii="宋体" w:hAnsi="宋体" w:eastAsia="宋体"/>
                <w:sz w:val="21"/>
                <w:szCs w:val="21"/>
              </w:rPr>
              <w:t>任何单位和个人不得在当地人民政府禁止的时段和区域露天烧烤食品或者为露天烧烤食品提供场地。</w:t>
            </w:r>
          </w:p>
          <w:p w14:paraId="76FBF7F3">
            <w:pPr>
              <w:spacing w:before="20" w:after="20" w:line="300" w:lineRule="auto"/>
              <w:rPr>
                <w:rFonts w:hint="eastAsia" w:ascii="宋体" w:hAnsi="宋体" w:eastAsia="宋体"/>
                <w:b/>
                <w:bCs/>
                <w:sz w:val="21"/>
                <w:szCs w:val="21"/>
              </w:rPr>
            </w:pPr>
            <w:r>
              <w:rPr>
                <w:rFonts w:ascii="宋体" w:hAnsi="宋体" w:eastAsia="宋体"/>
                <w:b/>
                <w:bCs/>
                <w:sz w:val="21"/>
                <w:szCs w:val="21"/>
              </w:rPr>
              <w:t>2.《云南省大气污染防治条例》（2026修订版）第三十八条第三款</w:t>
            </w:r>
            <w:r>
              <w:rPr>
                <w:rFonts w:hint="eastAsia" w:ascii="宋体" w:hAnsi="宋体" w:eastAsia="宋体"/>
                <w:b/>
                <w:bCs/>
                <w:sz w:val="21"/>
                <w:szCs w:val="21"/>
              </w:rPr>
              <w:t xml:space="preserve"> </w:t>
            </w:r>
            <w:r>
              <w:rPr>
                <w:rFonts w:ascii="宋体" w:hAnsi="宋体" w:eastAsia="宋体"/>
                <w:b/>
                <w:bCs/>
                <w:sz w:val="21"/>
                <w:szCs w:val="21"/>
              </w:rPr>
              <w:t>县级以上人民政府可以划定并公布禁止露天烧烤的区域，任何单位和个人不得在禁止的区域内露天烧烤食品或者为露天烧烤食品提供场地。</w:t>
            </w:r>
          </w:p>
          <w:p w14:paraId="2219C4CE">
            <w:pPr>
              <w:spacing w:before="20" w:after="20" w:line="300" w:lineRule="auto"/>
              <w:rPr>
                <w:rFonts w:hint="eastAsia" w:ascii="宋体" w:hAnsi="宋体" w:eastAsia="宋体"/>
                <w:b/>
                <w:bCs/>
              </w:rPr>
            </w:pPr>
            <w:r>
              <w:rPr>
                <w:rFonts w:ascii="宋体" w:hAnsi="宋体" w:eastAsia="宋体"/>
                <w:b/>
                <w:bCs/>
                <w:color w:val="auto"/>
                <w:sz w:val="21"/>
                <w:szCs w:val="21"/>
              </w:rPr>
              <w:t>3.《昆明市大气污染防治条例》（2026修订版）第四十五条第三款</w:t>
            </w:r>
            <w:r>
              <w:rPr>
                <w:rFonts w:hint="eastAsia" w:ascii="宋体" w:hAnsi="宋体" w:eastAsia="宋体"/>
                <w:b/>
                <w:bCs/>
                <w:color w:val="auto"/>
                <w:sz w:val="21"/>
                <w:szCs w:val="21"/>
              </w:rPr>
              <w:t xml:space="preserve"> </w:t>
            </w:r>
            <w:r>
              <w:rPr>
                <w:rFonts w:ascii="宋体" w:hAnsi="宋体" w:eastAsia="宋体"/>
                <w:b/>
                <w:bCs/>
                <w:color w:val="auto"/>
                <w:sz w:val="21"/>
                <w:szCs w:val="21"/>
              </w:rPr>
              <w:t>市、县（市、区）人民政府、开发（度假）园区管委会应当划定并公布禁止露天烧烤的时段和区域，任何单位和个人不得在禁止的时段和区域内露天烧烤食品或者为露天烧烤食品提供场地。</w:t>
            </w:r>
          </w:p>
        </w:tc>
      </w:tr>
      <w:tr w14:paraId="1AA57264">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61" w:type="dxa"/>
            <w:noWrap w:val="0"/>
            <w:vAlign w:val="center"/>
          </w:tcPr>
          <w:p w14:paraId="4750A264">
            <w:pPr>
              <w:spacing w:before="20" w:after="20" w:line="300" w:lineRule="auto"/>
              <w:jc w:val="center"/>
              <w:rPr>
                <w:rFonts w:hint="eastAsia" w:ascii="宋体" w:hAnsi="宋体" w:eastAsia="宋体"/>
                <w:b/>
                <w:sz w:val="21"/>
                <w:szCs w:val="21"/>
              </w:rPr>
            </w:pPr>
            <w:r>
              <w:rPr>
                <w:rFonts w:ascii="宋体" w:hAnsi="宋体" w:eastAsia="宋体"/>
                <w:b/>
                <w:sz w:val="21"/>
                <w:szCs w:val="21"/>
              </w:rPr>
              <w:t>处罚依据</w:t>
            </w:r>
          </w:p>
        </w:tc>
        <w:tc>
          <w:tcPr>
            <w:tcW w:w="7765" w:type="dxa"/>
            <w:gridSpan w:val="2"/>
            <w:noWrap w:val="0"/>
            <w:vAlign w:val="center"/>
          </w:tcPr>
          <w:p w14:paraId="0E5387C1">
            <w:pPr>
              <w:spacing w:before="20" w:after="20" w:line="300" w:lineRule="auto"/>
              <w:rPr>
                <w:rFonts w:hint="eastAsia" w:ascii="宋体" w:hAnsi="宋体" w:eastAsia="宋体"/>
                <w:sz w:val="21"/>
                <w:szCs w:val="21"/>
              </w:rPr>
            </w:pPr>
            <w:r>
              <w:rPr>
                <w:rFonts w:ascii="宋体" w:hAnsi="宋体" w:eastAsia="宋体"/>
                <w:sz w:val="21"/>
                <w:szCs w:val="21"/>
              </w:rPr>
              <w:t>1.《中华人民共和国生态环境法典》第一千一百三十二条第三款</w:t>
            </w:r>
            <w:r>
              <w:rPr>
                <w:rFonts w:hint="eastAsia" w:ascii="宋体" w:hAnsi="宋体" w:eastAsia="宋体"/>
                <w:sz w:val="21"/>
                <w:szCs w:val="21"/>
              </w:rPr>
              <w:t xml:space="preserve"> </w:t>
            </w:r>
            <w:r>
              <w:rPr>
                <w:rFonts w:ascii="宋体" w:hAnsi="宋体" w:eastAsia="宋体"/>
                <w:sz w:val="21"/>
                <w:szCs w:val="21"/>
              </w:rPr>
              <w:t>违反本法规定，在当地人民政府禁止的时段和区域内露天烧烤食品或者为露天烧烤食品提供场地的，由县级以上地方人民政府确定的监督管理部门责令改正，没收烧烤工具和违法所得，并处五百元以上五千元以下的罚款；拒不改正的，处五千元以上二万元以下的罚款。</w:t>
            </w:r>
          </w:p>
          <w:p w14:paraId="68B81D7C">
            <w:pPr>
              <w:spacing w:before="20" w:after="20" w:line="300" w:lineRule="auto"/>
              <w:rPr>
                <w:rFonts w:hint="eastAsia" w:ascii="宋体" w:hAnsi="宋体" w:eastAsia="宋体"/>
                <w:b/>
                <w:bCs/>
              </w:rPr>
            </w:pPr>
            <w:r>
              <w:rPr>
                <w:rFonts w:ascii="宋体" w:hAnsi="宋体" w:eastAsia="宋体"/>
                <w:b/>
                <w:bCs/>
                <w:color w:val="auto"/>
                <w:sz w:val="21"/>
                <w:szCs w:val="21"/>
              </w:rPr>
              <w:t>2.《昆明市大气污染防治条例》（2026修订版）第六十二条第三款</w:t>
            </w:r>
            <w:r>
              <w:rPr>
                <w:rFonts w:hint="eastAsia" w:ascii="宋体" w:hAnsi="宋体" w:eastAsia="宋体"/>
                <w:b/>
                <w:bCs/>
                <w:sz w:val="21"/>
                <w:szCs w:val="21"/>
              </w:rPr>
              <w:t xml:space="preserve"> </w:t>
            </w:r>
            <w:r>
              <w:rPr>
                <w:rFonts w:ascii="宋体" w:hAnsi="宋体" w:eastAsia="宋体"/>
                <w:b/>
                <w:bCs/>
                <w:color w:val="auto"/>
                <w:sz w:val="21"/>
                <w:szCs w:val="21"/>
              </w:rPr>
              <w:t>违反本条例规定，在市、县（市、区）人民政府、开发（度假）园区管委会禁止的时段和区域内露天烧烤食品或者为露天烧烤食品提供场地的，由生态环境、城市管理、市场监管等主管部门按照职责分工责令改正，没收烧烤工具和违法所得，并处500元以上5000元以下罚款；拒不改正的，处5000元以上2万元以下罚款。</w:t>
            </w:r>
          </w:p>
        </w:tc>
      </w:tr>
      <w:tr w14:paraId="028CE1F2">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61" w:type="dxa"/>
            <w:noWrap w:val="0"/>
            <w:vAlign w:val="center"/>
          </w:tcPr>
          <w:p w14:paraId="200CFC42">
            <w:pPr>
              <w:spacing w:before="20" w:after="20" w:line="300" w:lineRule="auto"/>
              <w:jc w:val="center"/>
              <w:rPr>
                <w:rFonts w:hint="eastAsia" w:ascii="宋体" w:hAnsi="宋体" w:eastAsia="宋体"/>
                <w:b/>
                <w:sz w:val="21"/>
                <w:szCs w:val="21"/>
              </w:rPr>
            </w:pPr>
            <w:r>
              <w:rPr>
                <w:rFonts w:ascii="宋体" w:hAnsi="宋体" w:eastAsia="宋体"/>
                <w:b/>
                <w:sz w:val="21"/>
                <w:szCs w:val="21"/>
              </w:rPr>
              <w:t>裁量因素</w:t>
            </w:r>
          </w:p>
        </w:tc>
        <w:tc>
          <w:tcPr>
            <w:tcW w:w="6662" w:type="dxa"/>
            <w:noWrap w:val="0"/>
            <w:vAlign w:val="center"/>
          </w:tcPr>
          <w:p w14:paraId="6957D45B">
            <w:pPr>
              <w:spacing w:before="20" w:after="20" w:line="300" w:lineRule="auto"/>
              <w:jc w:val="center"/>
              <w:rPr>
                <w:rFonts w:hint="eastAsia" w:ascii="宋体" w:hAnsi="宋体" w:eastAsia="宋体"/>
                <w:b/>
                <w:sz w:val="21"/>
                <w:szCs w:val="21"/>
              </w:rPr>
            </w:pPr>
            <w:r>
              <w:rPr>
                <w:rFonts w:ascii="宋体" w:hAnsi="宋体" w:eastAsia="宋体"/>
                <w:b/>
                <w:sz w:val="21"/>
                <w:szCs w:val="21"/>
              </w:rPr>
              <w:t>裁量因子</w:t>
            </w:r>
          </w:p>
        </w:tc>
        <w:tc>
          <w:tcPr>
            <w:tcW w:w="1103" w:type="dxa"/>
            <w:noWrap w:val="0"/>
            <w:vAlign w:val="center"/>
          </w:tcPr>
          <w:p w14:paraId="308CB960">
            <w:pPr>
              <w:spacing w:before="20" w:after="20" w:line="300" w:lineRule="auto"/>
              <w:jc w:val="center"/>
              <w:rPr>
                <w:rFonts w:hint="eastAsia" w:ascii="宋体" w:hAnsi="宋体" w:eastAsia="宋体"/>
                <w:b/>
                <w:sz w:val="21"/>
                <w:szCs w:val="21"/>
              </w:rPr>
            </w:pPr>
            <w:r>
              <w:rPr>
                <w:rFonts w:ascii="宋体" w:hAnsi="宋体" w:eastAsia="宋体"/>
                <w:b/>
                <w:sz w:val="21"/>
                <w:szCs w:val="21"/>
              </w:rPr>
              <w:t>裁量等级</w:t>
            </w:r>
          </w:p>
        </w:tc>
      </w:tr>
      <w:tr w14:paraId="2F7FC46B">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61" w:type="dxa"/>
            <w:vMerge w:val="restart"/>
            <w:noWrap w:val="0"/>
            <w:vAlign w:val="center"/>
          </w:tcPr>
          <w:p w14:paraId="7204282B">
            <w:pPr>
              <w:spacing w:before="20" w:after="20" w:line="300" w:lineRule="auto"/>
              <w:jc w:val="center"/>
              <w:rPr>
                <w:rFonts w:hint="eastAsia" w:ascii="宋体" w:hAnsi="宋体" w:eastAsia="宋体"/>
              </w:rPr>
            </w:pPr>
            <w:r>
              <w:rPr>
                <w:rFonts w:ascii="宋体" w:hAnsi="宋体" w:eastAsia="宋体"/>
                <w:b/>
                <w:sz w:val="21"/>
                <w:szCs w:val="21"/>
              </w:rPr>
              <w:t>违法事实</w:t>
            </w:r>
          </w:p>
        </w:tc>
        <w:tc>
          <w:tcPr>
            <w:tcW w:w="6662" w:type="dxa"/>
            <w:noWrap w:val="0"/>
            <w:vAlign w:val="center"/>
          </w:tcPr>
          <w:p w14:paraId="2E43BA30">
            <w:pPr>
              <w:spacing w:before="20" w:after="20" w:line="300" w:lineRule="auto"/>
              <w:rPr>
                <w:rFonts w:hint="eastAsia" w:ascii="宋体" w:hAnsi="宋体" w:eastAsia="宋体"/>
              </w:rPr>
            </w:pPr>
            <w:r>
              <w:rPr>
                <w:rFonts w:ascii="宋体" w:hAnsi="宋体" w:eastAsia="宋体"/>
                <w:sz w:val="21"/>
                <w:szCs w:val="21"/>
              </w:rPr>
              <w:t>在允许的区域内但在禁止露天烧烤的时段内露天烧烤食品，且采取了有效的大气污染防治措施</w:t>
            </w:r>
          </w:p>
        </w:tc>
        <w:tc>
          <w:tcPr>
            <w:tcW w:w="1103" w:type="dxa"/>
            <w:noWrap w:val="0"/>
            <w:vAlign w:val="center"/>
          </w:tcPr>
          <w:p w14:paraId="4E7D4A94">
            <w:pPr>
              <w:spacing w:before="20" w:after="20" w:line="300" w:lineRule="auto"/>
              <w:jc w:val="center"/>
              <w:rPr>
                <w:rFonts w:hint="eastAsia" w:ascii="宋体" w:hAnsi="宋体" w:eastAsia="宋体"/>
              </w:rPr>
            </w:pPr>
            <w:r>
              <w:rPr>
                <w:rFonts w:ascii="宋体" w:hAnsi="宋体" w:eastAsia="宋体"/>
                <w:sz w:val="21"/>
                <w:szCs w:val="21"/>
              </w:rPr>
              <w:t>1</w:t>
            </w:r>
          </w:p>
        </w:tc>
      </w:tr>
      <w:tr w14:paraId="2C846368">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61" w:type="dxa"/>
            <w:vMerge w:val="continue"/>
            <w:noWrap w:val="0"/>
            <w:vAlign w:val="center"/>
          </w:tcPr>
          <w:p w14:paraId="131EEAEC">
            <w:pPr>
              <w:spacing w:before="20" w:after="20" w:line="300" w:lineRule="auto"/>
              <w:jc w:val="center"/>
              <w:rPr>
                <w:rFonts w:hint="eastAsia" w:ascii="宋体" w:hAnsi="宋体" w:eastAsia="宋体"/>
              </w:rPr>
            </w:pPr>
          </w:p>
        </w:tc>
        <w:tc>
          <w:tcPr>
            <w:tcW w:w="6662" w:type="dxa"/>
            <w:noWrap w:val="0"/>
            <w:vAlign w:val="center"/>
          </w:tcPr>
          <w:p w14:paraId="36D33394">
            <w:pPr>
              <w:spacing w:before="20" w:after="20" w:line="300" w:lineRule="auto"/>
              <w:rPr>
                <w:rFonts w:hint="eastAsia" w:ascii="宋体" w:hAnsi="宋体" w:eastAsia="宋体"/>
              </w:rPr>
            </w:pPr>
            <w:r>
              <w:rPr>
                <w:rFonts w:ascii="宋体" w:hAnsi="宋体" w:eastAsia="宋体"/>
                <w:sz w:val="21"/>
                <w:szCs w:val="21"/>
              </w:rPr>
              <w:t>在允许的区域内禁止露天烧烤的时段内露天烧烤食品，但未采取有效的大气污染防治措施的；或在禁止的区域内露天烧烤食品，但采取了有效的大气污染防治措施的</w:t>
            </w:r>
          </w:p>
        </w:tc>
        <w:tc>
          <w:tcPr>
            <w:tcW w:w="1103" w:type="dxa"/>
            <w:noWrap w:val="0"/>
            <w:vAlign w:val="center"/>
          </w:tcPr>
          <w:p w14:paraId="6B406260">
            <w:pPr>
              <w:spacing w:before="20" w:after="20" w:line="300" w:lineRule="auto"/>
              <w:jc w:val="center"/>
              <w:rPr>
                <w:rFonts w:hint="eastAsia" w:ascii="宋体" w:hAnsi="宋体" w:eastAsia="宋体"/>
              </w:rPr>
            </w:pPr>
            <w:r>
              <w:rPr>
                <w:rFonts w:ascii="宋体" w:hAnsi="宋体" w:eastAsia="宋体"/>
                <w:sz w:val="21"/>
                <w:szCs w:val="21"/>
              </w:rPr>
              <w:t>2</w:t>
            </w:r>
          </w:p>
        </w:tc>
      </w:tr>
      <w:tr w14:paraId="27CD157D">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61" w:type="dxa"/>
            <w:vMerge w:val="continue"/>
            <w:noWrap w:val="0"/>
            <w:vAlign w:val="center"/>
          </w:tcPr>
          <w:p w14:paraId="380D87DC">
            <w:pPr>
              <w:spacing w:before="20" w:after="20" w:line="300" w:lineRule="auto"/>
              <w:jc w:val="center"/>
              <w:rPr>
                <w:rFonts w:hint="eastAsia" w:ascii="宋体" w:hAnsi="宋体" w:eastAsia="宋体"/>
              </w:rPr>
            </w:pPr>
          </w:p>
        </w:tc>
        <w:tc>
          <w:tcPr>
            <w:tcW w:w="6662" w:type="dxa"/>
            <w:noWrap w:val="0"/>
            <w:vAlign w:val="center"/>
          </w:tcPr>
          <w:p w14:paraId="35EC64A3">
            <w:pPr>
              <w:spacing w:before="20" w:after="20" w:line="300" w:lineRule="auto"/>
              <w:rPr>
                <w:rFonts w:hint="eastAsia" w:ascii="宋体" w:hAnsi="宋体" w:eastAsia="宋体"/>
              </w:rPr>
            </w:pPr>
            <w:r>
              <w:rPr>
                <w:rFonts w:ascii="宋体" w:hAnsi="宋体" w:eastAsia="宋体"/>
                <w:sz w:val="21"/>
                <w:szCs w:val="21"/>
              </w:rPr>
              <w:t>在禁止区域内露天烧烤食品且未采取有效的大气污染防治措施的；或在禁止的区域内、时段内为露天烧烤食品提供场地</w:t>
            </w:r>
          </w:p>
        </w:tc>
        <w:tc>
          <w:tcPr>
            <w:tcW w:w="1103" w:type="dxa"/>
            <w:noWrap w:val="0"/>
            <w:vAlign w:val="center"/>
          </w:tcPr>
          <w:p w14:paraId="7A587182">
            <w:pPr>
              <w:spacing w:before="20" w:after="20" w:line="300" w:lineRule="auto"/>
              <w:jc w:val="center"/>
              <w:rPr>
                <w:rFonts w:hint="eastAsia" w:ascii="宋体" w:hAnsi="宋体" w:eastAsia="宋体"/>
              </w:rPr>
            </w:pPr>
            <w:r>
              <w:rPr>
                <w:rFonts w:ascii="宋体" w:hAnsi="宋体" w:eastAsia="宋体"/>
                <w:sz w:val="21"/>
                <w:szCs w:val="21"/>
              </w:rPr>
              <w:t>3</w:t>
            </w:r>
          </w:p>
        </w:tc>
      </w:tr>
      <w:tr w14:paraId="7D203B11">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61" w:type="dxa"/>
            <w:vMerge w:val="restart"/>
            <w:noWrap w:val="0"/>
            <w:vAlign w:val="center"/>
          </w:tcPr>
          <w:p w14:paraId="6B2D2FCB">
            <w:pPr>
              <w:spacing w:before="20" w:after="20" w:line="300" w:lineRule="auto"/>
              <w:jc w:val="center"/>
              <w:rPr>
                <w:rFonts w:hint="eastAsia" w:ascii="宋体" w:hAnsi="宋体" w:eastAsia="宋体"/>
              </w:rPr>
            </w:pPr>
            <w:r>
              <w:rPr>
                <w:rFonts w:ascii="宋体" w:hAnsi="宋体" w:eastAsia="宋体"/>
                <w:b/>
                <w:sz w:val="21"/>
                <w:szCs w:val="21"/>
              </w:rPr>
              <w:t>摊位（含经营设施、用具等）占地面积</w:t>
            </w:r>
          </w:p>
        </w:tc>
        <w:tc>
          <w:tcPr>
            <w:tcW w:w="6662" w:type="dxa"/>
            <w:noWrap w:val="0"/>
            <w:vAlign w:val="center"/>
          </w:tcPr>
          <w:p w14:paraId="0AB75311">
            <w:pPr>
              <w:spacing w:before="20" w:after="20" w:line="300" w:lineRule="auto"/>
              <w:rPr>
                <w:rFonts w:hint="eastAsia" w:ascii="宋体" w:hAnsi="宋体" w:eastAsia="宋体"/>
              </w:rPr>
            </w:pPr>
            <w:r>
              <w:rPr>
                <w:rFonts w:ascii="宋体" w:hAnsi="宋体" w:eastAsia="宋体"/>
                <w:sz w:val="21"/>
                <w:szCs w:val="21"/>
              </w:rPr>
              <w:t>10平方米以下</w:t>
            </w:r>
          </w:p>
        </w:tc>
        <w:tc>
          <w:tcPr>
            <w:tcW w:w="1103" w:type="dxa"/>
            <w:noWrap w:val="0"/>
            <w:vAlign w:val="center"/>
          </w:tcPr>
          <w:p w14:paraId="20E0AEA5">
            <w:pPr>
              <w:spacing w:before="20" w:after="20" w:line="300" w:lineRule="auto"/>
              <w:jc w:val="center"/>
              <w:rPr>
                <w:rFonts w:hint="eastAsia" w:ascii="宋体" w:hAnsi="宋体" w:eastAsia="宋体"/>
              </w:rPr>
            </w:pPr>
            <w:r>
              <w:rPr>
                <w:rFonts w:ascii="宋体" w:hAnsi="宋体" w:eastAsia="宋体"/>
                <w:sz w:val="21"/>
                <w:szCs w:val="21"/>
              </w:rPr>
              <w:t>1</w:t>
            </w:r>
          </w:p>
        </w:tc>
      </w:tr>
      <w:tr w14:paraId="73392924">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61" w:type="dxa"/>
            <w:vMerge w:val="continue"/>
            <w:noWrap w:val="0"/>
            <w:vAlign w:val="center"/>
          </w:tcPr>
          <w:p w14:paraId="2D3F3383">
            <w:pPr>
              <w:spacing w:before="20" w:after="20" w:line="300" w:lineRule="auto"/>
              <w:rPr>
                <w:rFonts w:hint="eastAsia" w:ascii="宋体" w:hAnsi="宋体" w:eastAsia="宋体"/>
              </w:rPr>
            </w:pPr>
          </w:p>
        </w:tc>
        <w:tc>
          <w:tcPr>
            <w:tcW w:w="6662" w:type="dxa"/>
            <w:noWrap w:val="0"/>
            <w:vAlign w:val="center"/>
          </w:tcPr>
          <w:p w14:paraId="2428A29A">
            <w:pPr>
              <w:spacing w:before="20" w:after="20" w:line="300" w:lineRule="auto"/>
              <w:rPr>
                <w:rFonts w:hint="eastAsia" w:ascii="宋体" w:hAnsi="宋体" w:eastAsia="宋体"/>
              </w:rPr>
            </w:pPr>
            <w:r>
              <w:rPr>
                <w:rFonts w:ascii="宋体" w:hAnsi="宋体" w:eastAsia="宋体"/>
                <w:sz w:val="21"/>
                <w:szCs w:val="21"/>
              </w:rPr>
              <w:t>10平方米以上不足20平方米</w:t>
            </w:r>
          </w:p>
        </w:tc>
        <w:tc>
          <w:tcPr>
            <w:tcW w:w="1103" w:type="dxa"/>
            <w:noWrap w:val="0"/>
            <w:vAlign w:val="center"/>
          </w:tcPr>
          <w:p w14:paraId="4B6E7781">
            <w:pPr>
              <w:spacing w:before="20" w:after="20" w:line="300" w:lineRule="auto"/>
              <w:jc w:val="center"/>
              <w:rPr>
                <w:rFonts w:hint="eastAsia" w:ascii="宋体" w:hAnsi="宋体" w:eastAsia="宋体"/>
              </w:rPr>
            </w:pPr>
            <w:r>
              <w:rPr>
                <w:rFonts w:ascii="宋体" w:hAnsi="宋体" w:eastAsia="宋体"/>
                <w:sz w:val="21"/>
                <w:szCs w:val="21"/>
              </w:rPr>
              <w:t>3</w:t>
            </w:r>
          </w:p>
        </w:tc>
      </w:tr>
      <w:tr w14:paraId="56B1BF89">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61" w:type="dxa"/>
            <w:vMerge w:val="continue"/>
            <w:noWrap w:val="0"/>
            <w:vAlign w:val="center"/>
          </w:tcPr>
          <w:p w14:paraId="70A27E4F">
            <w:pPr>
              <w:spacing w:before="20" w:after="20" w:line="300" w:lineRule="auto"/>
              <w:rPr>
                <w:rFonts w:hint="eastAsia" w:ascii="宋体" w:hAnsi="宋体" w:eastAsia="宋体"/>
              </w:rPr>
            </w:pPr>
          </w:p>
        </w:tc>
        <w:tc>
          <w:tcPr>
            <w:tcW w:w="6662" w:type="dxa"/>
            <w:noWrap w:val="0"/>
            <w:vAlign w:val="center"/>
          </w:tcPr>
          <w:p w14:paraId="362C0D7D">
            <w:pPr>
              <w:spacing w:before="20" w:after="20" w:line="300" w:lineRule="auto"/>
              <w:rPr>
                <w:rFonts w:hint="eastAsia" w:ascii="宋体" w:hAnsi="宋体" w:eastAsia="宋体"/>
              </w:rPr>
            </w:pPr>
            <w:r>
              <w:rPr>
                <w:rFonts w:ascii="宋体" w:hAnsi="宋体" w:eastAsia="宋体"/>
                <w:sz w:val="21"/>
                <w:szCs w:val="21"/>
              </w:rPr>
              <w:t>20平方米以上不足50平方米</w:t>
            </w:r>
          </w:p>
        </w:tc>
        <w:tc>
          <w:tcPr>
            <w:tcW w:w="1103" w:type="dxa"/>
            <w:noWrap w:val="0"/>
            <w:vAlign w:val="center"/>
          </w:tcPr>
          <w:p w14:paraId="00CA73D0">
            <w:pPr>
              <w:spacing w:before="20" w:after="20" w:line="300" w:lineRule="auto"/>
              <w:jc w:val="center"/>
              <w:rPr>
                <w:rFonts w:hint="eastAsia" w:ascii="宋体" w:hAnsi="宋体" w:eastAsia="宋体"/>
              </w:rPr>
            </w:pPr>
            <w:r>
              <w:rPr>
                <w:rFonts w:ascii="宋体" w:hAnsi="宋体" w:eastAsia="宋体"/>
                <w:sz w:val="21"/>
                <w:szCs w:val="21"/>
              </w:rPr>
              <w:t>4</w:t>
            </w:r>
          </w:p>
        </w:tc>
      </w:tr>
      <w:tr w14:paraId="0B66B9D1">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61" w:type="dxa"/>
            <w:vMerge w:val="continue"/>
            <w:noWrap w:val="0"/>
            <w:vAlign w:val="center"/>
          </w:tcPr>
          <w:p w14:paraId="225D5ABB">
            <w:pPr>
              <w:spacing w:before="20" w:after="20" w:line="300" w:lineRule="auto"/>
              <w:rPr>
                <w:rFonts w:hint="eastAsia" w:ascii="宋体" w:hAnsi="宋体" w:eastAsia="宋体"/>
              </w:rPr>
            </w:pPr>
          </w:p>
        </w:tc>
        <w:tc>
          <w:tcPr>
            <w:tcW w:w="6662" w:type="dxa"/>
            <w:noWrap w:val="0"/>
            <w:vAlign w:val="center"/>
          </w:tcPr>
          <w:p w14:paraId="1EF98CA2">
            <w:pPr>
              <w:spacing w:before="20" w:after="20" w:line="300" w:lineRule="auto"/>
              <w:rPr>
                <w:rFonts w:hint="eastAsia" w:ascii="宋体" w:hAnsi="宋体" w:eastAsia="宋体"/>
              </w:rPr>
            </w:pPr>
            <w:r>
              <w:rPr>
                <w:rFonts w:ascii="宋体" w:hAnsi="宋体" w:eastAsia="宋体"/>
                <w:sz w:val="21"/>
                <w:szCs w:val="21"/>
              </w:rPr>
              <w:t>50平方米以上</w:t>
            </w:r>
          </w:p>
        </w:tc>
        <w:tc>
          <w:tcPr>
            <w:tcW w:w="1103" w:type="dxa"/>
            <w:noWrap w:val="0"/>
            <w:vAlign w:val="center"/>
          </w:tcPr>
          <w:p w14:paraId="193FFFA7">
            <w:pPr>
              <w:spacing w:before="20" w:after="20" w:line="300" w:lineRule="auto"/>
              <w:jc w:val="center"/>
              <w:rPr>
                <w:rFonts w:hint="eastAsia" w:ascii="宋体" w:hAnsi="宋体" w:eastAsia="宋体"/>
              </w:rPr>
            </w:pPr>
            <w:r>
              <w:rPr>
                <w:rFonts w:ascii="宋体" w:hAnsi="宋体" w:eastAsia="宋体"/>
                <w:sz w:val="21"/>
                <w:szCs w:val="21"/>
              </w:rPr>
              <w:t>5</w:t>
            </w:r>
          </w:p>
        </w:tc>
      </w:tr>
    </w:tbl>
    <w:p w14:paraId="09353711">
      <w:pPr>
        <w:spacing w:before="40" w:after="40" w:line="400" w:lineRule="auto"/>
        <w:jc w:val="both"/>
        <w:rPr>
          <w:rFonts w:ascii="Times New Roman" w:hAnsi="Times New Roman" w:eastAsia="黑体"/>
          <w:b/>
          <w:sz w:val="24"/>
        </w:rPr>
      </w:pPr>
      <w:bookmarkStart w:id="22" w:name="_Toc23795"/>
      <w:bookmarkStart w:id="23" w:name="_Toc32688"/>
      <w:bookmarkStart w:id="24" w:name="_Toc4797"/>
      <w:r>
        <w:rPr>
          <w:rFonts w:hint="eastAsia" w:ascii="Times New Roman" w:hAnsi="Times New Roman" w:eastAsia="黑体"/>
          <w:b/>
          <w:sz w:val="24"/>
        </w:rPr>
        <w:t>7.从事服装干洗和机动车维修等服务活动，未设置异味和废气处理装置等污染防治设施并保持正常使用</w:t>
      </w:r>
      <w:r>
        <w:rPr>
          <w:rFonts w:ascii="Times New Roman" w:hAnsi="Times New Roman" w:eastAsia="黑体"/>
          <w:b/>
          <w:sz w:val="24"/>
        </w:rPr>
        <w:t>的行为</w:t>
      </w:r>
      <w:bookmarkEnd w:id="22"/>
      <w:bookmarkEnd w:id="23"/>
      <w:bookmarkEnd w:id="24"/>
    </w:p>
    <w:tbl>
      <w:tblPr>
        <w:tblStyle w:val="8"/>
        <w:tblW w:w="9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90"/>
        <w:gridCol w:w="6643"/>
        <w:gridCol w:w="1098"/>
      </w:tblGrid>
      <w:tr w14:paraId="3FF85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4" w:type="pct"/>
            <w:noWrap w:val="0"/>
            <w:tcMar>
              <w:top w:w="0" w:type="dxa"/>
              <w:left w:w="57" w:type="dxa"/>
              <w:bottom w:w="0" w:type="dxa"/>
              <w:right w:w="57" w:type="dxa"/>
            </w:tcMar>
            <w:vAlign w:val="center"/>
          </w:tcPr>
          <w:p w14:paraId="7F20AF08">
            <w:pPr>
              <w:pStyle w:val="20"/>
              <w:autoSpaceDE w:val="0"/>
              <w:autoSpaceDN w:val="0"/>
              <w:adjustRightInd w:val="0"/>
              <w:snapToGrid w:val="0"/>
              <w:spacing w:before="20" w:after="20" w:line="300" w:lineRule="auto"/>
              <w:ind w:left="0" w:right="0" w:rightChars="0" w:firstLine="0"/>
              <w:jc w:val="center"/>
              <w:rPr>
                <w:rFonts w:hint="eastAsia" w:cs="Times New Roman"/>
                <w:b/>
                <w:kern w:val="2"/>
                <w:sz w:val="21"/>
                <w:szCs w:val="21"/>
              </w:rPr>
            </w:pPr>
            <w:r>
              <w:rPr>
                <w:rFonts w:hint="eastAsia" w:cs="Times New Roman"/>
                <w:b/>
                <w:kern w:val="2"/>
                <w:sz w:val="21"/>
                <w:szCs w:val="21"/>
              </w:rPr>
              <w:t>违反条款</w:t>
            </w:r>
          </w:p>
        </w:tc>
        <w:tc>
          <w:tcPr>
            <w:tcW w:w="4286" w:type="pct"/>
            <w:gridSpan w:val="2"/>
            <w:noWrap w:val="0"/>
            <w:tcMar>
              <w:top w:w="0" w:type="dxa"/>
              <w:left w:w="57" w:type="dxa"/>
              <w:bottom w:w="0" w:type="dxa"/>
              <w:right w:w="57" w:type="dxa"/>
            </w:tcMar>
            <w:vAlign w:val="center"/>
          </w:tcPr>
          <w:p w14:paraId="5C6AD3BD">
            <w:pPr>
              <w:pStyle w:val="20"/>
              <w:autoSpaceDE w:val="0"/>
              <w:autoSpaceDN w:val="0"/>
              <w:adjustRightInd w:val="0"/>
              <w:snapToGrid w:val="0"/>
              <w:spacing w:before="20" w:after="20" w:line="300" w:lineRule="auto"/>
              <w:ind w:left="0" w:right="0" w:rightChars="0" w:firstLine="0"/>
              <w:rPr>
                <w:rFonts w:hint="eastAsia" w:cs="Times New Roman"/>
                <w:sz w:val="21"/>
                <w:szCs w:val="21"/>
              </w:rPr>
            </w:pPr>
            <w:r>
              <w:rPr>
                <w:rFonts w:hint="eastAsia" w:cs="Times New Roman"/>
                <w:sz w:val="21"/>
                <w:szCs w:val="21"/>
              </w:rPr>
              <w:t>1.《中华人民共和国生态环境法典》第二百五十三条 从事服装干洗和机动车维修等服务活动的经营者，应当按照国家相关标准或者要求设置异味和废气处理装置等污染防治设施并保持正常使用，防止影响周边环境。</w:t>
            </w:r>
          </w:p>
          <w:p w14:paraId="5EEF4D90">
            <w:pPr>
              <w:pStyle w:val="20"/>
              <w:autoSpaceDE w:val="0"/>
              <w:autoSpaceDN w:val="0"/>
              <w:adjustRightInd w:val="0"/>
              <w:snapToGrid w:val="0"/>
              <w:spacing w:before="20" w:after="20" w:line="300" w:lineRule="auto"/>
              <w:ind w:left="0" w:right="0" w:rightChars="0" w:firstLine="0"/>
              <w:rPr>
                <w:rFonts w:hint="eastAsia" w:cs="Times New Roman"/>
                <w:b/>
                <w:bCs/>
                <w:sz w:val="21"/>
                <w:szCs w:val="21"/>
              </w:rPr>
            </w:pPr>
            <w:r>
              <w:rPr>
                <w:rFonts w:hint="eastAsia" w:cs="Times New Roman"/>
                <w:b/>
                <w:bCs/>
                <w:color w:val="auto"/>
                <w:kern w:val="2"/>
                <w:sz w:val="21"/>
                <w:szCs w:val="21"/>
              </w:rPr>
              <w:t>2.</w:t>
            </w:r>
            <w:r>
              <w:rPr>
                <w:rFonts w:cs="Times New Roman"/>
                <w:b/>
                <w:bCs/>
                <w:color w:val="auto"/>
                <w:kern w:val="2"/>
                <w:sz w:val="21"/>
                <w:szCs w:val="21"/>
              </w:rPr>
              <w:t>《昆明市大气污染防治条例》（2026修订版）第四十六条第一款 服装干洗和机动车维修等经营者应当按照国家有关规定设置异味和废气处理装置等污染防治设施并保持正常使用，或者采取其他净化、处理措施，防止影响周边环境。</w:t>
            </w:r>
          </w:p>
        </w:tc>
      </w:tr>
      <w:tr w14:paraId="21E4F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714" w:type="pct"/>
            <w:noWrap w:val="0"/>
            <w:tcMar>
              <w:top w:w="0" w:type="dxa"/>
              <w:left w:w="57" w:type="dxa"/>
              <w:bottom w:w="0" w:type="dxa"/>
              <w:right w:w="57" w:type="dxa"/>
            </w:tcMar>
            <w:vAlign w:val="center"/>
          </w:tcPr>
          <w:p w14:paraId="6831129B">
            <w:pPr>
              <w:pStyle w:val="20"/>
              <w:autoSpaceDE w:val="0"/>
              <w:autoSpaceDN w:val="0"/>
              <w:adjustRightInd w:val="0"/>
              <w:snapToGrid w:val="0"/>
              <w:spacing w:before="20" w:after="20" w:line="300" w:lineRule="auto"/>
              <w:ind w:left="0" w:right="0" w:rightChars="0" w:firstLine="0"/>
              <w:jc w:val="center"/>
              <w:rPr>
                <w:rFonts w:hint="eastAsia" w:cs="Times New Roman"/>
                <w:b/>
                <w:kern w:val="2"/>
                <w:sz w:val="21"/>
                <w:szCs w:val="21"/>
              </w:rPr>
            </w:pPr>
            <w:r>
              <w:rPr>
                <w:rFonts w:hint="eastAsia" w:cs="Times New Roman"/>
                <w:b/>
                <w:kern w:val="2"/>
                <w:sz w:val="21"/>
                <w:szCs w:val="21"/>
              </w:rPr>
              <w:t>处罚依据</w:t>
            </w:r>
          </w:p>
        </w:tc>
        <w:tc>
          <w:tcPr>
            <w:tcW w:w="4286" w:type="pct"/>
            <w:gridSpan w:val="2"/>
            <w:noWrap w:val="0"/>
            <w:tcMar>
              <w:top w:w="0" w:type="dxa"/>
              <w:left w:w="57" w:type="dxa"/>
              <w:bottom w:w="0" w:type="dxa"/>
              <w:right w:w="57" w:type="dxa"/>
            </w:tcMar>
            <w:vAlign w:val="center"/>
          </w:tcPr>
          <w:p w14:paraId="5E116069">
            <w:pPr>
              <w:pStyle w:val="6"/>
              <w:spacing w:before="20" w:beforeAutospacing="0" w:after="20" w:afterAutospacing="0" w:line="300" w:lineRule="auto"/>
              <w:rPr>
                <w:rFonts w:hint="eastAsia" w:ascii="宋体" w:hAnsi="宋体"/>
                <w:sz w:val="21"/>
                <w:szCs w:val="21"/>
              </w:rPr>
            </w:pPr>
            <w:r>
              <w:rPr>
                <w:rFonts w:hint="eastAsia" w:ascii="宋体" w:hAnsi="宋体"/>
                <w:sz w:val="21"/>
                <w:szCs w:val="21"/>
              </w:rPr>
              <w:t>《中华人民共和国生态环境法典》第一千一百三十三条 违反本法规定，从事服装干洗和机动车维修等服务活动，未设置异味和废气处理装置等污染防治设施并保持正常使用的，由生态环境主管部门责令改正，处二千元以上二万元以下的罚款；拒不改正的，责令停业整治。</w:t>
            </w:r>
          </w:p>
          <w:p w14:paraId="65CC0C22">
            <w:pPr>
              <w:spacing w:before="20" w:after="20" w:line="300" w:lineRule="auto"/>
              <w:rPr>
                <w:rFonts w:hint="eastAsia" w:ascii="宋体" w:hAnsi="宋体" w:eastAsia="宋体"/>
                <w:b/>
                <w:bCs/>
                <w:sz w:val="21"/>
                <w:szCs w:val="21"/>
              </w:rPr>
            </w:pPr>
          </w:p>
        </w:tc>
      </w:tr>
      <w:tr w14:paraId="7936A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4" w:type="pct"/>
            <w:noWrap w:val="0"/>
            <w:tcMar>
              <w:top w:w="0" w:type="dxa"/>
              <w:left w:w="57" w:type="dxa"/>
              <w:bottom w:w="0" w:type="dxa"/>
              <w:right w:w="57" w:type="dxa"/>
            </w:tcMar>
            <w:vAlign w:val="center"/>
          </w:tcPr>
          <w:p w14:paraId="43C4CB3E">
            <w:pPr>
              <w:overflowPunct w:val="0"/>
              <w:autoSpaceDE w:val="0"/>
              <w:autoSpaceDN w:val="0"/>
              <w:adjustRightInd w:val="0"/>
              <w:snapToGrid w:val="0"/>
              <w:spacing w:before="20" w:after="20" w:line="300" w:lineRule="auto"/>
              <w:jc w:val="center"/>
              <w:rPr>
                <w:rFonts w:hint="eastAsia" w:ascii="宋体" w:hAnsi="宋体" w:eastAsia="宋体"/>
                <w:b/>
                <w:sz w:val="21"/>
                <w:szCs w:val="21"/>
              </w:rPr>
            </w:pPr>
            <w:r>
              <w:rPr>
                <w:rFonts w:ascii="宋体" w:hAnsi="宋体" w:eastAsia="宋体"/>
                <w:b/>
                <w:sz w:val="21"/>
                <w:szCs w:val="21"/>
              </w:rPr>
              <w:t>裁量因素</w:t>
            </w:r>
          </w:p>
        </w:tc>
        <w:tc>
          <w:tcPr>
            <w:tcW w:w="3678" w:type="pct"/>
            <w:noWrap w:val="0"/>
            <w:tcMar>
              <w:top w:w="0" w:type="dxa"/>
              <w:left w:w="57" w:type="dxa"/>
              <w:bottom w:w="0" w:type="dxa"/>
              <w:right w:w="57" w:type="dxa"/>
            </w:tcMar>
            <w:vAlign w:val="center"/>
          </w:tcPr>
          <w:p w14:paraId="500A8A6E">
            <w:pPr>
              <w:overflowPunct w:val="0"/>
              <w:autoSpaceDE w:val="0"/>
              <w:autoSpaceDN w:val="0"/>
              <w:adjustRightInd w:val="0"/>
              <w:snapToGrid w:val="0"/>
              <w:spacing w:before="20" w:after="20" w:line="300" w:lineRule="auto"/>
              <w:jc w:val="center"/>
              <w:rPr>
                <w:rFonts w:hint="eastAsia" w:ascii="宋体" w:hAnsi="宋体" w:eastAsia="宋体"/>
                <w:b/>
                <w:sz w:val="21"/>
                <w:szCs w:val="21"/>
              </w:rPr>
            </w:pPr>
            <w:r>
              <w:rPr>
                <w:rFonts w:ascii="宋体" w:hAnsi="宋体" w:eastAsia="宋体"/>
                <w:b/>
                <w:sz w:val="21"/>
                <w:szCs w:val="21"/>
              </w:rPr>
              <w:t>裁量因子</w:t>
            </w:r>
          </w:p>
        </w:tc>
        <w:tc>
          <w:tcPr>
            <w:tcW w:w="608" w:type="pct"/>
            <w:noWrap w:val="0"/>
            <w:tcMar>
              <w:top w:w="0" w:type="dxa"/>
              <w:left w:w="57" w:type="dxa"/>
              <w:bottom w:w="0" w:type="dxa"/>
              <w:right w:w="57" w:type="dxa"/>
            </w:tcMar>
            <w:vAlign w:val="center"/>
          </w:tcPr>
          <w:p w14:paraId="0DF3D4A2">
            <w:pPr>
              <w:overflowPunct w:val="0"/>
              <w:autoSpaceDE w:val="0"/>
              <w:autoSpaceDN w:val="0"/>
              <w:adjustRightInd w:val="0"/>
              <w:snapToGrid w:val="0"/>
              <w:spacing w:before="20" w:after="20" w:line="300" w:lineRule="auto"/>
              <w:jc w:val="center"/>
              <w:rPr>
                <w:rFonts w:hint="eastAsia" w:ascii="宋体" w:hAnsi="宋体" w:eastAsia="宋体"/>
                <w:b/>
                <w:sz w:val="21"/>
                <w:szCs w:val="21"/>
              </w:rPr>
            </w:pPr>
            <w:r>
              <w:rPr>
                <w:rFonts w:ascii="宋体" w:hAnsi="宋体" w:eastAsia="宋体"/>
                <w:b/>
                <w:sz w:val="21"/>
                <w:szCs w:val="21"/>
              </w:rPr>
              <w:t>裁量等级</w:t>
            </w:r>
          </w:p>
        </w:tc>
      </w:tr>
      <w:tr w14:paraId="72AF9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4" w:type="pct"/>
            <w:vMerge w:val="restart"/>
            <w:noWrap w:val="0"/>
            <w:tcMar>
              <w:top w:w="0" w:type="dxa"/>
              <w:left w:w="57" w:type="dxa"/>
              <w:bottom w:w="0" w:type="dxa"/>
              <w:right w:w="57" w:type="dxa"/>
            </w:tcMar>
            <w:vAlign w:val="center"/>
          </w:tcPr>
          <w:p w14:paraId="5E719205">
            <w:pPr>
              <w:pStyle w:val="20"/>
              <w:autoSpaceDE w:val="0"/>
              <w:autoSpaceDN w:val="0"/>
              <w:adjustRightInd w:val="0"/>
              <w:snapToGrid w:val="0"/>
              <w:spacing w:before="20" w:after="20" w:line="300" w:lineRule="auto"/>
              <w:ind w:left="0" w:right="0" w:rightChars="0" w:firstLine="0"/>
              <w:jc w:val="center"/>
              <w:rPr>
                <w:rFonts w:hint="eastAsia" w:cs="Times New Roman"/>
                <w:b/>
                <w:kern w:val="2"/>
                <w:sz w:val="21"/>
                <w:szCs w:val="21"/>
              </w:rPr>
            </w:pPr>
            <w:r>
              <w:rPr>
                <w:rFonts w:hint="eastAsia" w:cs="Times New Roman"/>
                <w:b/>
                <w:kern w:val="2"/>
                <w:sz w:val="21"/>
                <w:szCs w:val="21"/>
              </w:rPr>
              <w:t>违法事实</w:t>
            </w:r>
          </w:p>
        </w:tc>
        <w:tc>
          <w:tcPr>
            <w:tcW w:w="3678" w:type="pct"/>
            <w:noWrap w:val="0"/>
            <w:tcMar>
              <w:top w:w="0" w:type="dxa"/>
              <w:left w:w="57" w:type="dxa"/>
              <w:bottom w:w="0" w:type="dxa"/>
              <w:right w:w="57" w:type="dxa"/>
            </w:tcMar>
            <w:vAlign w:val="center"/>
          </w:tcPr>
          <w:p w14:paraId="59472056">
            <w:pPr>
              <w:pStyle w:val="20"/>
              <w:autoSpaceDE w:val="0"/>
              <w:autoSpaceDN w:val="0"/>
              <w:adjustRightInd w:val="0"/>
              <w:snapToGrid w:val="0"/>
              <w:spacing w:before="20" w:after="20" w:line="300" w:lineRule="auto"/>
              <w:ind w:left="0" w:right="0" w:rightChars="0" w:firstLine="0"/>
              <w:rPr>
                <w:rFonts w:hint="eastAsia" w:cs="Times New Roman"/>
                <w:sz w:val="21"/>
                <w:szCs w:val="21"/>
              </w:rPr>
            </w:pPr>
            <w:r>
              <w:rPr>
                <w:rFonts w:cs="Times New Roman"/>
                <w:sz w:val="21"/>
                <w:szCs w:val="21"/>
              </w:rPr>
              <w:t>已设置异味和废气处理装置等污染防治设施，但未规范使用</w:t>
            </w:r>
            <w:r>
              <w:rPr>
                <w:rFonts w:hint="eastAsia" w:cs="Times New Roman"/>
                <w:sz w:val="21"/>
                <w:szCs w:val="21"/>
              </w:rPr>
              <w:t>的</w:t>
            </w:r>
          </w:p>
        </w:tc>
        <w:tc>
          <w:tcPr>
            <w:tcW w:w="608" w:type="pct"/>
            <w:noWrap w:val="0"/>
            <w:tcMar>
              <w:top w:w="0" w:type="dxa"/>
              <w:left w:w="57" w:type="dxa"/>
              <w:bottom w:w="0" w:type="dxa"/>
              <w:right w:w="57" w:type="dxa"/>
            </w:tcMar>
            <w:vAlign w:val="center"/>
          </w:tcPr>
          <w:p w14:paraId="5EA03074">
            <w:pPr>
              <w:overflowPunct w:val="0"/>
              <w:autoSpaceDE w:val="0"/>
              <w:autoSpaceDN w:val="0"/>
              <w:adjustRightInd w:val="0"/>
              <w:snapToGrid w:val="0"/>
              <w:spacing w:before="20" w:after="20" w:line="300" w:lineRule="auto"/>
              <w:jc w:val="center"/>
              <w:rPr>
                <w:rFonts w:hint="eastAsia" w:ascii="宋体" w:hAnsi="宋体" w:eastAsia="宋体"/>
                <w:sz w:val="21"/>
                <w:szCs w:val="21"/>
              </w:rPr>
            </w:pPr>
            <w:r>
              <w:rPr>
                <w:rFonts w:ascii="宋体" w:hAnsi="宋体" w:eastAsia="宋体"/>
                <w:sz w:val="21"/>
                <w:szCs w:val="21"/>
              </w:rPr>
              <w:t>2</w:t>
            </w:r>
          </w:p>
        </w:tc>
      </w:tr>
      <w:tr w14:paraId="4EF0E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714" w:type="pct"/>
            <w:vMerge w:val="continue"/>
            <w:noWrap w:val="0"/>
            <w:tcMar>
              <w:top w:w="0" w:type="dxa"/>
              <w:left w:w="57" w:type="dxa"/>
              <w:bottom w:w="0" w:type="dxa"/>
              <w:right w:w="57" w:type="dxa"/>
            </w:tcMar>
            <w:vAlign w:val="center"/>
          </w:tcPr>
          <w:p w14:paraId="24A3445D">
            <w:pPr>
              <w:autoSpaceDE w:val="0"/>
              <w:autoSpaceDN w:val="0"/>
              <w:adjustRightInd w:val="0"/>
              <w:snapToGrid w:val="0"/>
              <w:spacing w:before="20" w:after="20" w:line="300" w:lineRule="auto"/>
              <w:jc w:val="center"/>
              <w:textAlignment w:val="center"/>
              <w:rPr>
                <w:rFonts w:hint="eastAsia" w:ascii="宋体" w:hAnsi="宋体" w:eastAsia="宋体" w:cs="宋体"/>
                <w:snapToGrid w:val="0"/>
                <w:sz w:val="21"/>
                <w:szCs w:val="21"/>
                <w:lang w:bidi="ar"/>
              </w:rPr>
            </w:pPr>
          </w:p>
        </w:tc>
        <w:tc>
          <w:tcPr>
            <w:tcW w:w="3678" w:type="pct"/>
            <w:noWrap w:val="0"/>
            <w:tcMar>
              <w:top w:w="0" w:type="dxa"/>
              <w:left w:w="57" w:type="dxa"/>
              <w:bottom w:w="0" w:type="dxa"/>
              <w:right w:w="57" w:type="dxa"/>
            </w:tcMar>
            <w:vAlign w:val="center"/>
          </w:tcPr>
          <w:p w14:paraId="7552DB3D">
            <w:pPr>
              <w:pStyle w:val="20"/>
              <w:autoSpaceDE w:val="0"/>
              <w:autoSpaceDN w:val="0"/>
              <w:adjustRightInd w:val="0"/>
              <w:snapToGrid w:val="0"/>
              <w:spacing w:before="20" w:after="20" w:line="300" w:lineRule="auto"/>
              <w:ind w:left="0" w:right="0" w:rightChars="0" w:firstLine="0"/>
              <w:rPr>
                <w:rFonts w:hint="eastAsia" w:cs="Times New Roman"/>
                <w:sz w:val="21"/>
                <w:szCs w:val="21"/>
              </w:rPr>
            </w:pPr>
            <w:r>
              <w:rPr>
                <w:rFonts w:cs="Times New Roman"/>
                <w:sz w:val="21"/>
                <w:szCs w:val="21"/>
              </w:rPr>
              <w:t>未设置异味和废气处理装置等污染防治设施</w:t>
            </w:r>
            <w:r>
              <w:rPr>
                <w:rFonts w:hint="eastAsia" w:cs="Times New Roman"/>
                <w:sz w:val="21"/>
                <w:szCs w:val="21"/>
              </w:rPr>
              <w:t>的</w:t>
            </w:r>
          </w:p>
        </w:tc>
        <w:tc>
          <w:tcPr>
            <w:tcW w:w="608" w:type="pct"/>
            <w:noWrap w:val="0"/>
            <w:tcMar>
              <w:top w:w="0" w:type="dxa"/>
              <w:left w:w="57" w:type="dxa"/>
              <w:bottom w:w="0" w:type="dxa"/>
              <w:right w:w="57" w:type="dxa"/>
            </w:tcMar>
            <w:vAlign w:val="center"/>
          </w:tcPr>
          <w:p w14:paraId="41FE9BB6">
            <w:pPr>
              <w:overflowPunct w:val="0"/>
              <w:autoSpaceDE w:val="0"/>
              <w:autoSpaceDN w:val="0"/>
              <w:adjustRightInd w:val="0"/>
              <w:snapToGrid w:val="0"/>
              <w:spacing w:before="20" w:after="20" w:line="300" w:lineRule="auto"/>
              <w:jc w:val="center"/>
              <w:rPr>
                <w:rFonts w:hint="eastAsia" w:ascii="宋体" w:hAnsi="宋体" w:eastAsia="宋体"/>
                <w:sz w:val="21"/>
                <w:szCs w:val="21"/>
              </w:rPr>
            </w:pPr>
            <w:r>
              <w:rPr>
                <w:rFonts w:ascii="宋体" w:hAnsi="宋体" w:eastAsia="宋体"/>
                <w:sz w:val="21"/>
                <w:szCs w:val="21"/>
              </w:rPr>
              <w:t>3</w:t>
            </w:r>
          </w:p>
        </w:tc>
      </w:tr>
      <w:tr w14:paraId="05C67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4" w:type="pct"/>
            <w:vMerge w:val="restart"/>
            <w:noWrap w:val="0"/>
            <w:tcMar>
              <w:top w:w="0" w:type="dxa"/>
              <w:left w:w="57" w:type="dxa"/>
              <w:bottom w:w="0" w:type="dxa"/>
              <w:right w:w="57" w:type="dxa"/>
            </w:tcMar>
            <w:vAlign w:val="center"/>
          </w:tcPr>
          <w:p w14:paraId="5EE057FD">
            <w:pPr>
              <w:pStyle w:val="20"/>
              <w:autoSpaceDE w:val="0"/>
              <w:autoSpaceDN w:val="0"/>
              <w:adjustRightInd w:val="0"/>
              <w:snapToGrid w:val="0"/>
              <w:spacing w:before="20" w:after="20" w:line="300" w:lineRule="auto"/>
              <w:ind w:left="0" w:right="0" w:rightChars="0" w:firstLine="0"/>
              <w:jc w:val="center"/>
              <w:rPr>
                <w:rFonts w:hint="eastAsia" w:cs="Times New Roman"/>
                <w:b/>
                <w:kern w:val="2"/>
                <w:sz w:val="21"/>
                <w:szCs w:val="21"/>
              </w:rPr>
            </w:pPr>
            <w:r>
              <w:rPr>
                <w:rFonts w:hint="eastAsia" w:cs="Times New Roman"/>
                <w:b/>
                <w:kern w:val="2"/>
                <w:sz w:val="21"/>
                <w:szCs w:val="21"/>
              </w:rPr>
              <w:t>项目地点</w:t>
            </w:r>
          </w:p>
        </w:tc>
        <w:tc>
          <w:tcPr>
            <w:tcW w:w="3678" w:type="pct"/>
            <w:noWrap w:val="0"/>
            <w:tcMar>
              <w:top w:w="0" w:type="dxa"/>
              <w:left w:w="57" w:type="dxa"/>
              <w:bottom w:w="0" w:type="dxa"/>
              <w:right w:w="57" w:type="dxa"/>
            </w:tcMar>
            <w:vAlign w:val="center"/>
          </w:tcPr>
          <w:p w14:paraId="6384F193">
            <w:pPr>
              <w:pStyle w:val="20"/>
              <w:autoSpaceDE w:val="0"/>
              <w:autoSpaceDN w:val="0"/>
              <w:adjustRightInd w:val="0"/>
              <w:snapToGrid w:val="0"/>
              <w:spacing w:before="20" w:after="20" w:line="300" w:lineRule="auto"/>
              <w:ind w:left="0" w:right="0" w:rightChars="0" w:firstLine="0"/>
              <w:rPr>
                <w:rFonts w:hint="eastAsia" w:cs="Times New Roman"/>
                <w:sz w:val="21"/>
                <w:szCs w:val="21"/>
              </w:rPr>
            </w:pPr>
            <w:r>
              <w:rPr>
                <w:rFonts w:hint="eastAsia" w:cs="Times New Roman"/>
                <w:sz w:val="21"/>
                <w:szCs w:val="21"/>
              </w:rPr>
              <w:t>环境空气二类功能区</w:t>
            </w:r>
          </w:p>
        </w:tc>
        <w:tc>
          <w:tcPr>
            <w:tcW w:w="608" w:type="pct"/>
            <w:noWrap w:val="0"/>
            <w:tcMar>
              <w:top w:w="0" w:type="dxa"/>
              <w:left w:w="57" w:type="dxa"/>
              <w:bottom w:w="0" w:type="dxa"/>
              <w:right w:w="57" w:type="dxa"/>
            </w:tcMar>
            <w:vAlign w:val="center"/>
          </w:tcPr>
          <w:p w14:paraId="160E6474">
            <w:pPr>
              <w:overflowPunct w:val="0"/>
              <w:autoSpaceDE w:val="0"/>
              <w:autoSpaceDN w:val="0"/>
              <w:adjustRightInd w:val="0"/>
              <w:snapToGrid w:val="0"/>
              <w:spacing w:before="20" w:after="20" w:line="300" w:lineRule="auto"/>
              <w:jc w:val="center"/>
              <w:rPr>
                <w:rFonts w:hint="eastAsia" w:ascii="宋体" w:hAnsi="宋体" w:eastAsia="宋体"/>
                <w:sz w:val="21"/>
                <w:szCs w:val="21"/>
              </w:rPr>
            </w:pPr>
            <w:r>
              <w:rPr>
                <w:rFonts w:hint="eastAsia" w:ascii="宋体" w:hAnsi="宋体" w:eastAsia="宋体"/>
                <w:sz w:val="21"/>
                <w:szCs w:val="21"/>
              </w:rPr>
              <w:t>3</w:t>
            </w:r>
          </w:p>
        </w:tc>
      </w:tr>
      <w:tr w14:paraId="3A437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4" w:type="pct"/>
            <w:vMerge w:val="continue"/>
            <w:noWrap w:val="0"/>
            <w:tcMar>
              <w:top w:w="0" w:type="dxa"/>
              <w:left w:w="57" w:type="dxa"/>
              <w:bottom w:w="0" w:type="dxa"/>
              <w:right w:w="57" w:type="dxa"/>
            </w:tcMar>
            <w:vAlign w:val="center"/>
          </w:tcPr>
          <w:p w14:paraId="42E56B1F">
            <w:pPr>
              <w:autoSpaceDE w:val="0"/>
              <w:autoSpaceDN w:val="0"/>
              <w:adjustRightInd w:val="0"/>
              <w:snapToGrid w:val="0"/>
              <w:spacing w:before="20" w:after="20" w:line="300" w:lineRule="auto"/>
              <w:jc w:val="center"/>
              <w:textAlignment w:val="center"/>
              <w:rPr>
                <w:rFonts w:hint="eastAsia" w:ascii="宋体" w:hAnsi="宋体" w:eastAsia="宋体" w:cs="宋体"/>
                <w:snapToGrid w:val="0"/>
                <w:sz w:val="21"/>
                <w:szCs w:val="21"/>
                <w:lang w:bidi="ar"/>
              </w:rPr>
            </w:pPr>
          </w:p>
        </w:tc>
        <w:tc>
          <w:tcPr>
            <w:tcW w:w="3678" w:type="pct"/>
            <w:noWrap w:val="0"/>
            <w:tcMar>
              <w:top w:w="0" w:type="dxa"/>
              <w:left w:w="57" w:type="dxa"/>
              <w:bottom w:w="0" w:type="dxa"/>
              <w:right w:w="57" w:type="dxa"/>
            </w:tcMar>
            <w:vAlign w:val="center"/>
          </w:tcPr>
          <w:p w14:paraId="53B19D06">
            <w:pPr>
              <w:pStyle w:val="20"/>
              <w:autoSpaceDE w:val="0"/>
              <w:autoSpaceDN w:val="0"/>
              <w:adjustRightInd w:val="0"/>
              <w:snapToGrid w:val="0"/>
              <w:spacing w:before="20" w:after="20" w:line="300" w:lineRule="auto"/>
              <w:ind w:left="0" w:right="0" w:rightChars="0" w:firstLine="0"/>
              <w:rPr>
                <w:rFonts w:hint="eastAsia" w:cs="Times New Roman"/>
                <w:sz w:val="21"/>
                <w:szCs w:val="21"/>
              </w:rPr>
            </w:pPr>
            <w:r>
              <w:rPr>
                <w:rFonts w:hint="eastAsia" w:cs="Times New Roman"/>
                <w:sz w:val="21"/>
                <w:szCs w:val="21"/>
              </w:rPr>
              <w:t>环境空气一类功能区</w:t>
            </w:r>
          </w:p>
        </w:tc>
        <w:tc>
          <w:tcPr>
            <w:tcW w:w="608" w:type="pct"/>
            <w:noWrap w:val="0"/>
            <w:tcMar>
              <w:top w:w="0" w:type="dxa"/>
              <w:left w:w="57" w:type="dxa"/>
              <w:bottom w:w="0" w:type="dxa"/>
              <w:right w:w="57" w:type="dxa"/>
            </w:tcMar>
            <w:vAlign w:val="center"/>
          </w:tcPr>
          <w:p w14:paraId="7910557F">
            <w:pPr>
              <w:overflowPunct w:val="0"/>
              <w:autoSpaceDE w:val="0"/>
              <w:autoSpaceDN w:val="0"/>
              <w:adjustRightInd w:val="0"/>
              <w:snapToGrid w:val="0"/>
              <w:spacing w:before="20" w:after="20" w:line="300" w:lineRule="auto"/>
              <w:jc w:val="center"/>
              <w:rPr>
                <w:rFonts w:hint="eastAsia" w:ascii="宋体" w:hAnsi="宋体" w:eastAsia="宋体"/>
                <w:sz w:val="21"/>
                <w:szCs w:val="21"/>
              </w:rPr>
            </w:pPr>
            <w:r>
              <w:rPr>
                <w:rFonts w:hint="eastAsia" w:ascii="宋体" w:hAnsi="宋体" w:eastAsia="宋体"/>
                <w:sz w:val="21"/>
                <w:szCs w:val="21"/>
              </w:rPr>
              <w:t>5</w:t>
            </w:r>
          </w:p>
        </w:tc>
      </w:tr>
    </w:tbl>
    <w:p w14:paraId="041AF4AC">
      <w:pPr>
        <w:spacing w:after="120" w:afterLines="50" w:line="480" w:lineRule="exact"/>
        <w:rPr>
          <w:rFonts w:ascii="Times New Roman" w:hAnsi="Times New Roman" w:eastAsia="黑体"/>
          <w:sz w:val="28"/>
          <w:szCs w:val="28"/>
        </w:rPr>
      </w:pPr>
      <w:bookmarkStart w:id="25" w:name="_Toc41"/>
      <w:r>
        <w:rPr>
          <w:rFonts w:ascii="Times New Roman" w:hAnsi="Times New Roman" w:eastAsia="黑体"/>
          <w:sz w:val="28"/>
          <w:szCs w:val="28"/>
        </w:rPr>
        <w:t>（</w:t>
      </w:r>
      <w:r>
        <w:rPr>
          <w:rFonts w:hint="eastAsia" w:ascii="Times New Roman" w:hAnsi="Times New Roman" w:eastAsia="黑体"/>
          <w:sz w:val="28"/>
          <w:szCs w:val="28"/>
        </w:rPr>
        <w:t>五</w:t>
      </w:r>
      <w:r>
        <w:rPr>
          <w:rFonts w:ascii="Times New Roman" w:hAnsi="Times New Roman" w:eastAsia="黑体"/>
          <w:sz w:val="28"/>
          <w:szCs w:val="28"/>
        </w:rPr>
        <w:t>）违反水污染防治管理制度的行为</w:t>
      </w:r>
      <w:bookmarkEnd w:id="25"/>
    </w:p>
    <w:p w14:paraId="003C3D40">
      <w:pPr>
        <w:spacing w:before="40" w:after="40" w:line="400" w:lineRule="auto"/>
        <w:jc w:val="both"/>
        <w:rPr>
          <w:rFonts w:ascii="Times New Roman" w:hAnsi="Times New Roman" w:eastAsia="黑体"/>
          <w:b/>
          <w:sz w:val="24"/>
        </w:rPr>
      </w:pPr>
      <w:r>
        <w:rPr>
          <w:rFonts w:hint="eastAsia" w:ascii="Times New Roman" w:hAnsi="Times New Roman" w:eastAsia="黑体"/>
          <w:b/>
          <w:sz w:val="24"/>
        </w:rPr>
        <w:t>1</w:t>
      </w:r>
      <w:r>
        <w:rPr>
          <w:rFonts w:ascii="Times New Roman" w:hAnsi="Times New Roman" w:eastAsia="黑体"/>
          <w:b/>
          <w:sz w:val="24"/>
        </w:rPr>
        <w:t>.向水体排放剧毒废液，或者将可溶性剧毒废渣向水体排放、倾倒或者直接埋入地下的行为</w:t>
      </w:r>
    </w:p>
    <w:tbl>
      <w:tblPr>
        <w:tblStyle w:val="8"/>
        <w:tblW w:w="9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91"/>
        <w:gridCol w:w="6611"/>
        <w:gridCol w:w="1129"/>
      </w:tblGrid>
      <w:tr w14:paraId="6566F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715" w:type="pct"/>
            <w:noWrap w:val="0"/>
            <w:vAlign w:val="center"/>
          </w:tcPr>
          <w:p w14:paraId="44C354B1">
            <w:pPr>
              <w:overflowPunct w:val="0"/>
              <w:autoSpaceDE w:val="0"/>
              <w:autoSpaceDN w:val="0"/>
              <w:adjustRightInd w:val="0"/>
              <w:snapToGrid w:val="0"/>
              <w:spacing w:before="20" w:after="20" w:line="300" w:lineRule="auto"/>
              <w:jc w:val="center"/>
              <w:rPr>
                <w:rFonts w:hint="eastAsia" w:ascii="宋体" w:hAnsi="宋体" w:eastAsia="宋体"/>
                <w:b/>
                <w:sz w:val="21"/>
                <w:szCs w:val="21"/>
              </w:rPr>
            </w:pPr>
            <w:r>
              <w:rPr>
                <w:rFonts w:ascii="宋体" w:hAnsi="宋体" w:eastAsia="宋体"/>
                <w:b/>
                <w:sz w:val="21"/>
                <w:szCs w:val="21"/>
              </w:rPr>
              <w:t>违反条款</w:t>
            </w:r>
          </w:p>
        </w:tc>
        <w:tc>
          <w:tcPr>
            <w:tcW w:w="4285" w:type="pct"/>
            <w:gridSpan w:val="2"/>
            <w:noWrap w:val="0"/>
            <w:tcMar>
              <w:top w:w="0" w:type="dxa"/>
              <w:left w:w="57" w:type="dxa"/>
              <w:bottom w:w="0" w:type="dxa"/>
              <w:right w:w="57" w:type="dxa"/>
            </w:tcMar>
            <w:vAlign w:val="center"/>
          </w:tcPr>
          <w:p w14:paraId="1B6B353A">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1.《中华人民共和国生态环境法典》第二百七十九条第一款 禁止向水体排放油类、酸液、碱液、剧毒废液。禁止在水体清洗装贮过油类或者有毒有害污染物的车辆和容器。</w:t>
            </w:r>
          </w:p>
          <w:p w14:paraId="44AF954C">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第二百八十二条第二款 禁止将含有汞、镉、砷、铬、铅、氰化物、黄磷等的可溶性剧毒废渣向水体排放、倾倒或者直接埋入地下。</w:t>
            </w:r>
          </w:p>
          <w:p w14:paraId="5B8C5850">
            <w:pPr>
              <w:pStyle w:val="20"/>
              <w:autoSpaceDE w:val="0"/>
              <w:autoSpaceDN w:val="0"/>
              <w:adjustRightInd w:val="0"/>
              <w:snapToGrid w:val="0"/>
              <w:spacing w:before="20" w:after="20" w:line="300" w:lineRule="auto"/>
              <w:ind w:left="0" w:right="0" w:rightChars="0" w:firstLine="0"/>
              <w:textAlignment w:val="baseline"/>
              <w:rPr>
                <w:rFonts w:hint="eastAsia" w:cs="Times New Roman"/>
                <w:b/>
                <w:bCs/>
                <w:sz w:val="21"/>
                <w:szCs w:val="21"/>
              </w:rPr>
            </w:pPr>
            <w:r>
              <w:rPr>
                <w:rFonts w:hint="eastAsia" w:cs="Times New Roman"/>
                <w:b/>
                <w:bCs/>
                <w:sz w:val="21"/>
                <w:szCs w:val="21"/>
              </w:rPr>
              <w:t>2.</w:t>
            </w:r>
            <w:r>
              <w:rPr>
                <w:rFonts w:cs="Times New Roman"/>
                <w:b/>
                <w:bCs/>
                <w:sz w:val="21"/>
                <w:szCs w:val="21"/>
              </w:rPr>
              <w:t>《云南省滇池保护条例》（2026修订版）第二十七条第三项 绿色发展区禁止下列行为：（三）向水体排放剧毒废液，或者将含有汞、镉、砷、铬、铅、氰化物、黄磷等的可溶性剧毒废渣向水体排放、倾倒或者直接埋入地下；</w:t>
            </w:r>
          </w:p>
        </w:tc>
      </w:tr>
      <w:tr w14:paraId="127B8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715" w:type="pct"/>
            <w:noWrap w:val="0"/>
            <w:vAlign w:val="center"/>
          </w:tcPr>
          <w:p w14:paraId="324A9271">
            <w:pPr>
              <w:overflowPunct w:val="0"/>
              <w:autoSpaceDE w:val="0"/>
              <w:autoSpaceDN w:val="0"/>
              <w:adjustRightInd w:val="0"/>
              <w:snapToGrid w:val="0"/>
              <w:spacing w:before="20" w:after="20" w:line="300" w:lineRule="auto"/>
              <w:jc w:val="center"/>
              <w:rPr>
                <w:rFonts w:hint="eastAsia" w:ascii="宋体" w:hAnsi="宋体" w:eastAsia="宋体"/>
                <w:b/>
                <w:sz w:val="21"/>
                <w:szCs w:val="21"/>
              </w:rPr>
            </w:pPr>
            <w:r>
              <w:rPr>
                <w:rFonts w:ascii="宋体" w:hAnsi="宋体" w:eastAsia="宋体"/>
                <w:b/>
                <w:sz w:val="21"/>
                <w:szCs w:val="21"/>
              </w:rPr>
              <w:t>处罚依据</w:t>
            </w:r>
          </w:p>
        </w:tc>
        <w:tc>
          <w:tcPr>
            <w:tcW w:w="4285" w:type="pct"/>
            <w:gridSpan w:val="2"/>
            <w:noWrap w:val="0"/>
            <w:tcMar>
              <w:top w:w="0" w:type="dxa"/>
              <w:left w:w="57" w:type="dxa"/>
              <w:bottom w:w="0" w:type="dxa"/>
              <w:right w:w="57" w:type="dxa"/>
            </w:tcMar>
            <w:vAlign w:val="center"/>
          </w:tcPr>
          <w:p w14:paraId="3F32A204">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《中华人民共和国生态环境法典》第一千一百三十六条第一款第二项、第二款 违反本法规定，有下列情形之一的，由生态环境主管部门责令停止违法行为，采取治理措施消除污染，处以罚款，可以责令采取限制生产、停产整治等措施；拒不采取治理措施的，可以指定有治理能力的单位代为治理，所需费用由违法者承担；情节严重的，报经有批准权的人民政府批准，责令停业、关闭：</w:t>
            </w:r>
          </w:p>
          <w:p w14:paraId="2B2A165F">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（二）向水体排放剧毒废液，或者将含有汞、镉、砷、铬、铅、氰化物、黄磷等的可溶性剧毒废渣向水体排放、倾倒或者直接埋入地下。</w:t>
            </w:r>
          </w:p>
          <w:p w14:paraId="7E281D3B">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有前款第三项、第四项情形之一的，处二万元以上二十万元以下的罚款；有前款第一项、第五项情形之一的，处十万元以上一百万元以下的罚款；有前款第二项情形的，处二十万元以上二百万元以下的罚款。</w:t>
            </w:r>
          </w:p>
          <w:p w14:paraId="1B05E549">
            <w:pPr>
              <w:pStyle w:val="20"/>
              <w:autoSpaceDE w:val="0"/>
              <w:autoSpaceDN w:val="0"/>
              <w:adjustRightInd w:val="0"/>
              <w:snapToGrid w:val="0"/>
              <w:spacing w:before="20" w:after="20" w:line="300" w:lineRule="auto"/>
              <w:ind w:left="0" w:right="0" w:rightChars="0" w:firstLine="0"/>
              <w:textAlignment w:val="baseline"/>
              <w:rPr>
                <w:rFonts w:hint="eastAsia" w:cs="Times New Roman"/>
                <w:b/>
                <w:bCs/>
                <w:sz w:val="21"/>
                <w:szCs w:val="21"/>
              </w:rPr>
            </w:pPr>
            <w:r>
              <w:rPr>
                <w:rFonts w:cs="Times New Roman"/>
                <w:b/>
                <w:bCs/>
                <w:sz w:val="21"/>
                <w:szCs w:val="21"/>
              </w:rPr>
              <w:t>2.《云南省滇池保护条例》（2026修订版）第八十条第二款 违反本条例第二十七条第一项至第六项规定的，由生态环境主管部门依法查处。</w:t>
            </w:r>
          </w:p>
        </w:tc>
      </w:tr>
      <w:tr w14:paraId="4C521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5" w:type="pct"/>
            <w:noWrap w:val="0"/>
            <w:vAlign w:val="center"/>
          </w:tcPr>
          <w:p w14:paraId="6D8675A7">
            <w:pPr>
              <w:overflowPunct w:val="0"/>
              <w:autoSpaceDE w:val="0"/>
              <w:autoSpaceDN w:val="0"/>
              <w:adjustRightInd w:val="0"/>
              <w:snapToGrid w:val="0"/>
              <w:spacing w:before="20" w:after="20" w:line="300" w:lineRule="auto"/>
              <w:jc w:val="center"/>
              <w:rPr>
                <w:rFonts w:hint="eastAsia" w:ascii="宋体" w:hAnsi="宋体" w:eastAsia="宋体"/>
                <w:b/>
                <w:sz w:val="21"/>
                <w:szCs w:val="21"/>
              </w:rPr>
            </w:pPr>
            <w:r>
              <w:rPr>
                <w:rFonts w:ascii="宋体" w:hAnsi="宋体" w:eastAsia="宋体"/>
                <w:b/>
                <w:sz w:val="21"/>
                <w:szCs w:val="21"/>
              </w:rPr>
              <w:t>裁量因素</w:t>
            </w:r>
          </w:p>
        </w:tc>
        <w:tc>
          <w:tcPr>
            <w:tcW w:w="3660" w:type="pct"/>
            <w:noWrap w:val="0"/>
            <w:tcMar>
              <w:top w:w="0" w:type="dxa"/>
              <w:left w:w="57" w:type="dxa"/>
              <w:bottom w:w="0" w:type="dxa"/>
              <w:right w:w="57" w:type="dxa"/>
            </w:tcMar>
            <w:vAlign w:val="center"/>
          </w:tcPr>
          <w:p w14:paraId="2051C037">
            <w:pPr>
              <w:overflowPunct w:val="0"/>
              <w:autoSpaceDE w:val="0"/>
              <w:autoSpaceDN w:val="0"/>
              <w:adjustRightInd w:val="0"/>
              <w:snapToGrid w:val="0"/>
              <w:spacing w:before="20" w:after="20" w:line="300" w:lineRule="auto"/>
              <w:jc w:val="center"/>
              <w:rPr>
                <w:rFonts w:hint="eastAsia" w:ascii="宋体" w:hAnsi="宋体" w:eastAsia="宋体"/>
                <w:b/>
                <w:sz w:val="21"/>
                <w:szCs w:val="21"/>
              </w:rPr>
            </w:pPr>
            <w:r>
              <w:rPr>
                <w:rFonts w:ascii="宋体" w:hAnsi="宋体" w:eastAsia="宋体"/>
                <w:b/>
                <w:sz w:val="21"/>
                <w:szCs w:val="21"/>
              </w:rPr>
              <w:t>裁量因子</w:t>
            </w:r>
          </w:p>
        </w:tc>
        <w:tc>
          <w:tcPr>
            <w:tcW w:w="625" w:type="pct"/>
            <w:noWrap w:val="0"/>
            <w:tcMar>
              <w:top w:w="0" w:type="dxa"/>
              <w:left w:w="57" w:type="dxa"/>
              <w:bottom w:w="0" w:type="dxa"/>
              <w:right w:w="57" w:type="dxa"/>
            </w:tcMar>
            <w:vAlign w:val="center"/>
          </w:tcPr>
          <w:p w14:paraId="5CA6DB9A">
            <w:pPr>
              <w:overflowPunct w:val="0"/>
              <w:autoSpaceDE w:val="0"/>
              <w:autoSpaceDN w:val="0"/>
              <w:adjustRightInd w:val="0"/>
              <w:snapToGrid w:val="0"/>
              <w:spacing w:before="20" w:after="20" w:line="300" w:lineRule="auto"/>
              <w:jc w:val="center"/>
              <w:rPr>
                <w:rFonts w:hint="eastAsia" w:ascii="宋体" w:hAnsi="宋体" w:eastAsia="宋体"/>
                <w:b/>
                <w:sz w:val="21"/>
                <w:szCs w:val="21"/>
              </w:rPr>
            </w:pPr>
            <w:r>
              <w:rPr>
                <w:rFonts w:ascii="宋体" w:hAnsi="宋体" w:eastAsia="宋体"/>
                <w:b/>
                <w:sz w:val="21"/>
                <w:szCs w:val="21"/>
              </w:rPr>
              <w:t>裁量等级</w:t>
            </w:r>
          </w:p>
        </w:tc>
      </w:tr>
      <w:tr w14:paraId="0BEF8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5" w:type="pct"/>
            <w:vMerge w:val="restart"/>
            <w:noWrap w:val="0"/>
            <w:vAlign w:val="center"/>
          </w:tcPr>
          <w:p w14:paraId="218969E1">
            <w:pPr>
              <w:overflowPunct w:val="0"/>
              <w:autoSpaceDE w:val="0"/>
              <w:autoSpaceDN w:val="0"/>
              <w:adjustRightInd w:val="0"/>
              <w:snapToGrid w:val="0"/>
              <w:spacing w:before="20" w:after="20" w:line="300" w:lineRule="auto"/>
              <w:jc w:val="center"/>
              <w:rPr>
                <w:rFonts w:hint="eastAsia" w:ascii="宋体" w:hAnsi="宋体" w:eastAsia="宋体"/>
                <w:b/>
                <w:sz w:val="21"/>
                <w:szCs w:val="21"/>
              </w:rPr>
            </w:pPr>
            <w:r>
              <w:rPr>
                <w:rFonts w:ascii="宋体" w:hAnsi="宋体" w:eastAsia="宋体"/>
                <w:b/>
                <w:sz w:val="21"/>
                <w:szCs w:val="21"/>
              </w:rPr>
              <w:t>排放方式</w:t>
            </w:r>
          </w:p>
        </w:tc>
        <w:tc>
          <w:tcPr>
            <w:tcW w:w="3660" w:type="pct"/>
            <w:noWrap w:val="0"/>
            <w:tcMar>
              <w:top w:w="0" w:type="dxa"/>
              <w:left w:w="57" w:type="dxa"/>
              <w:bottom w:w="0" w:type="dxa"/>
              <w:right w:w="57" w:type="dxa"/>
            </w:tcMar>
            <w:vAlign w:val="center"/>
          </w:tcPr>
          <w:p w14:paraId="5217EA4D">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排放、倾倒</w:t>
            </w:r>
          </w:p>
        </w:tc>
        <w:tc>
          <w:tcPr>
            <w:tcW w:w="625" w:type="pct"/>
            <w:noWrap w:val="0"/>
            <w:tcMar>
              <w:top w:w="0" w:type="dxa"/>
              <w:left w:w="57" w:type="dxa"/>
              <w:bottom w:w="0" w:type="dxa"/>
              <w:right w:w="57" w:type="dxa"/>
            </w:tcMar>
            <w:vAlign w:val="center"/>
          </w:tcPr>
          <w:p w14:paraId="37B2B606">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57FD0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5" w:type="pct"/>
            <w:vMerge w:val="continue"/>
            <w:noWrap w:val="0"/>
            <w:vAlign w:val="center"/>
          </w:tcPr>
          <w:p w14:paraId="0DC1C0AB">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660" w:type="pct"/>
            <w:noWrap w:val="0"/>
            <w:tcMar>
              <w:top w:w="0" w:type="dxa"/>
              <w:left w:w="57" w:type="dxa"/>
              <w:bottom w:w="0" w:type="dxa"/>
              <w:right w:w="57" w:type="dxa"/>
            </w:tcMar>
            <w:vAlign w:val="center"/>
          </w:tcPr>
          <w:p w14:paraId="067F0AFE">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埋</w:t>
            </w:r>
            <w:r>
              <w:rPr>
                <w:rFonts w:hint="eastAsia" w:cs="Times New Roman"/>
                <w:sz w:val="21"/>
                <w:szCs w:val="21"/>
              </w:rPr>
              <w:t>入</w:t>
            </w:r>
            <w:r>
              <w:rPr>
                <w:rFonts w:cs="Times New Roman"/>
                <w:sz w:val="21"/>
                <w:szCs w:val="21"/>
              </w:rPr>
              <w:t>地下</w:t>
            </w:r>
          </w:p>
        </w:tc>
        <w:tc>
          <w:tcPr>
            <w:tcW w:w="625" w:type="pct"/>
            <w:noWrap w:val="0"/>
            <w:tcMar>
              <w:top w:w="0" w:type="dxa"/>
              <w:left w:w="57" w:type="dxa"/>
              <w:bottom w:w="0" w:type="dxa"/>
              <w:right w:w="57" w:type="dxa"/>
            </w:tcMar>
            <w:vAlign w:val="center"/>
          </w:tcPr>
          <w:p w14:paraId="1555D2B5">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2C862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5" w:type="pct"/>
            <w:vMerge w:val="restart"/>
            <w:noWrap w:val="0"/>
            <w:vAlign w:val="center"/>
          </w:tcPr>
          <w:p w14:paraId="4473A57B">
            <w:pPr>
              <w:overflowPunct w:val="0"/>
              <w:autoSpaceDE w:val="0"/>
              <w:autoSpaceDN w:val="0"/>
              <w:adjustRightInd w:val="0"/>
              <w:snapToGrid w:val="0"/>
              <w:spacing w:before="20" w:after="20" w:line="300" w:lineRule="auto"/>
              <w:jc w:val="center"/>
              <w:rPr>
                <w:rFonts w:hint="eastAsia" w:ascii="宋体" w:hAnsi="宋体" w:eastAsia="宋体"/>
                <w:b/>
                <w:sz w:val="21"/>
                <w:szCs w:val="21"/>
              </w:rPr>
            </w:pPr>
            <w:r>
              <w:rPr>
                <w:rFonts w:ascii="宋体" w:hAnsi="宋体" w:eastAsia="宋体"/>
                <w:b/>
                <w:sz w:val="21"/>
                <w:szCs w:val="21"/>
              </w:rPr>
              <w:t>废液或废渣</w:t>
            </w:r>
          </w:p>
          <w:p w14:paraId="398688B6">
            <w:pPr>
              <w:overflowPunct w:val="0"/>
              <w:autoSpaceDE w:val="0"/>
              <w:autoSpaceDN w:val="0"/>
              <w:adjustRightInd w:val="0"/>
              <w:snapToGrid w:val="0"/>
              <w:spacing w:before="20" w:after="20" w:line="300" w:lineRule="auto"/>
              <w:jc w:val="center"/>
              <w:rPr>
                <w:rFonts w:hint="eastAsia" w:ascii="宋体" w:hAnsi="宋体" w:eastAsia="宋体"/>
                <w:b/>
                <w:sz w:val="21"/>
                <w:szCs w:val="21"/>
              </w:rPr>
            </w:pPr>
            <w:r>
              <w:rPr>
                <w:rFonts w:ascii="宋体" w:hAnsi="宋体" w:eastAsia="宋体"/>
                <w:b/>
                <w:sz w:val="21"/>
                <w:szCs w:val="21"/>
              </w:rPr>
              <w:t>数量</w:t>
            </w:r>
          </w:p>
        </w:tc>
        <w:tc>
          <w:tcPr>
            <w:tcW w:w="3660" w:type="pct"/>
            <w:noWrap w:val="0"/>
            <w:tcMar>
              <w:top w:w="0" w:type="dxa"/>
              <w:left w:w="57" w:type="dxa"/>
              <w:bottom w:w="0" w:type="dxa"/>
              <w:right w:w="57" w:type="dxa"/>
            </w:tcMar>
            <w:vAlign w:val="center"/>
          </w:tcPr>
          <w:p w14:paraId="6417DC30">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不足</w:t>
            </w:r>
            <w:r>
              <w:rPr>
                <w:rFonts w:cs="Times New Roman"/>
                <w:sz w:val="21"/>
                <w:szCs w:val="21"/>
              </w:rPr>
              <w:t>1千克</w:t>
            </w:r>
          </w:p>
        </w:tc>
        <w:tc>
          <w:tcPr>
            <w:tcW w:w="625" w:type="pct"/>
            <w:noWrap w:val="0"/>
            <w:tcMar>
              <w:top w:w="0" w:type="dxa"/>
              <w:left w:w="57" w:type="dxa"/>
              <w:bottom w:w="0" w:type="dxa"/>
              <w:right w:w="57" w:type="dxa"/>
            </w:tcMar>
            <w:vAlign w:val="center"/>
          </w:tcPr>
          <w:p w14:paraId="2262A619">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6F0D9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5" w:type="pct"/>
            <w:vMerge w:val="continue"/>
            <w:noWrap w:val="0"/>
            <w:vAlign w:val="center"/>
          </w:tcPr>
          <w:p w14:paraId="3F861BE4">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660" w:type="pct"/>
            <w:noWrap w:val="0"/>
            <w:tcMar>
              <w:top w:w="0" w:type="dxa"/>
              <w:left w:w="57" w:type="dxa"/>
              <w:bottom w:w="0" w:type="dxa"/>
              <w:right w:w="57" w:type="dxa"/>
            </w:tcMar>
            <w:vAlign w:val="center"/>
          </w:tcPr>
          <w:p w14:paraId="0CD112F1">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1千克以上</w:t>
            </w:r>
            <w:r>
              <w:rPr>
                <w:rFonts w:hint="eastAsia" w:cs="Times New Roman"/>
                <w:sz w:val="21"/>
                <w:szCs w:val="21"/>
              </w:rPr>
              <w:t>不足</w:t>
            </w:r>
            <w:r>
              <w:rPr>
                <w:rFonts w:cs="Times New Roman"/>
                <w:sz w:val="21"/>
                <w:szCs w:val="21"/>
              </w:rPr>
              <w:t>3千克</w:t>
            </w:r>
          </w:p>
        </w:tc>
        <w:tc>
          <w:tcPr>
            <w:tcW w:w="625" w:type="pct"/>
            <w:noWrap w:val="0"/>
            <w:tcMar>
              <w:top w:w="0" w:type="dxa"/>
              <w:left w:w="57" w:type="dxa"/>
              <w:bottom w:w="0" w:type="dxa"/>
              <w:right w:w="57" w:type="dxa"/>
            </w:tcMar>
            <w:vAlign w:val="center"/>
          </w:tcPr>
          <w:p w14:paraId="22DAE9AD">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2</w:t>
            </w:r>
          </w:p>
        </w:tc>
      </w:tr>
      <w:tr w14:paraId="07D5F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5" w:type="pct"/>
            <w:vMerge w:val="continue"/>
            <w:noWrap w:val="0"/>
            <w:vAlign w:val="center"/>
          </w:tcPr>
          <w:p w14:paraId="2D028E4F">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660" w:type="pct"/>
            <w:noWrap w:val="0"/>
            <w:tcMar>
              <w:top w:w="0" w:type="dxa"/>
              <w:left w:w="57" w:type="dxa"/>
              <w:bottom w:w="0" w:type="dxa"/>
              <w:right w:w="57" w:type="dxa"/>
            </w:tcMar>
            <w:vAlign w:val="center"/>
          </w:tcPr>
          <w:p w14:paraId="5BF95807">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3千克以上</w:t>
            </w:r>
            <w:r>
              <w:rPr>
                <w:rFonts w:hint="eastAsia" w:cs="Times New Roman"/>
                <w:sz w:val="21"/>
                <w:szCs w:val="21"/>
              </w:rPr>
              <w:t>不足</w:t>
            </w:r>
            <w:r>
              <w:rPr>
                <w:rFonts w:cs="Times New Roman"/>
                <w:sz w:val="21"/>
                <w:szCs w:val="21"/>
              </w:rPr>
              <w:t>10千克</w:t>
            </w:r>
          </w:p>
        </w:tc>
        <w:tc>
          <w:tcPr>
            <w:tcW w:w="625" w:type="pct"/>
            <w:noWrap w:val="0"/>
            <w:tcMar>
              <w:top w:w="0" w:type="dxa"/>
              <w:left w:w="57" w:type="dxa"/>
              <w:bottom w:w="0" w:type="dxa"/>
              <w:right w:w="57" w:type="dxa"/>
            </w:tcMar>
            <w:vAlign w:val="center"/>
          </w:tcPr>
          <w:p w14:paraId="161F1DD8">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06218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715" w:type="pct"/>
            <w:vMerge w:val="continue"/>
            <w:noWrap w:val="0"/>
            <w:vAlign w:val="center"/>
          </w:tcPr>
          <w:p w14:paraId="43A77D93">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660" w:type="pct"/>
            <w:noWrap w:val="0"/>
            <w:tcMar>
              <w:top w:w="0" w:type="dxa"/>
              <w:left w:w="57" w:type="dxa"/>
              <w:bottom w:w="0" w:type="dxa"/>
              <w:right w:w="57" w:type="dxa"/>
            </w:tcMar>
            <w:vAlign w:val="center"/>
          </w:tcPr>
          <w:p w14:paraId="6B5C22D1">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10千克以上</w:t>
            </w:r>
            <w:r>
              <w:rPr>
                <w:rFonts w:hint="eastAsia" w:cs="Times New Roman"/>
                <w:sz w:val="21"/>
                <w:szCs w:val="21"/>
              </w:rPr>
              <w:t>不足</w:t>
            </w:r>
            <w:r>
              <w:rPr>
                <w:rFonts w:cs="Times New Roman"/>
                <w:sz w:val="21"/>
                <w:szCs w:val="21"/>
              </w:rPr>
              <w:t>50千克</w:t>
            </w:r>
          </w:p>
        </w:tc>
        <w:tc>
          <w:tcPr>
            <w:tcW w:w="625" w:type="pct"/>
            <w:noWrap w:val="0"/>
            <w:tcMar>
              <w:top w:w="0" w:type="dxa"/>
              <w:left w:w="57" w:type="dxa"/>
              <w:bottom w:w="0" w:type="dxa"/>
              <w:right w:w="57" w:type="dxa"/>
            </w:tcMar>
            <w:vAlign w:val="center"/>
          </w:tcPr>
          <w:p w14:paraId="32276FB8">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pacing w:val="1"/>
                <w:sz w:val="21"/>
                <w:szCs w:val="21"/>
              </w:rPr>
              <w:t>4</w:t>
            </w:r>
          </w:p>
        </w:tc>
      </w:tr>
      <w:tr w14:paraId="0200F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5" w:type="pct"/>
            <w:vMerge w:val="continue"/>
            <w:noWrap w:val="0"/>
            <w:vAlign w:val="center"/>
          </w:tcPr>
          <w:p w14:paraId="75309F86">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660" w:type="pct"/>
            <w:noWrap w:val="0"/>
            <w:tcMar>
              <w:top w:w="0" w:type="dxa"/>
              <w:left w:w="57" w:type="dxa"/>
              <w:bottom w:w="0" w:type="dxa"/>
              <w:right w:w="57" w:type="dxa"/>
            </w:tcMar>
            <w:vAlign w:val="center"/>
          </w:tcPr>
          <w:p w14:paraId="41C69D54">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50千克以上</w:t>
            </w:r>
          </w:p>
        </w:tc>
        <w:tc>
          <w:tcPr>
            <w:tcW w:w="625" w:type="pct"/>
            <w:noWrap w:val="0"/>
            <w:tcMar>
              <w:top w:w="0" w:type="dxa"/>
              <w:left w:w="57" w:type="dxa"/>
              <w:bottom w:w="0" w:type="dxa"/>
              <w:right w:w="57" w:type="dxa"/>
            </w:tcMar>
            <w:vAlign w:val="center"/>
          </w:tcPr>
          <w:p w14:paraId="7FEE32D4">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5408E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715" w:type="pct"/>
            <w:vMerge w:val="restart"/>
            <w:noWrap w:val="0"/>
            <w:vAlign w:val="center"/>
          </w:tcPr>
          <w:p w14:paraId="04015BCF">
            <w:pPr>
              <w:overflowPunct w:val="0"/>
              <w:autoSpaceDE w:val="0"/>
              <w:autoSpaceDN w:val="0"/>
              <w:adjustRightInd w:val="0"/>
              <w:snapToGrid w:val="0"/>
              <w:spacing w:before="20" w:after="20" w:line="300" w:lineRule="auto"/>
              <w:jc w:val="center"/>
              <w:rPr>
                <w:rFonts w:hint="eastAsia" w:ascii="宋体" w:hAnsi="宋体" w:eastAsia="宋体"/>
                <w:b/>
                <w:sz w:val="21"/>
                <w:szCs w:val="21"/>
              </w:rPr>
            </w:pPr>
            <w:r>
              <w:rPr>
                <w:rFonts w:ascii="宋体" w:hAnsi="宋体" w:eastAsia="宋体"/>
                <w:b/>
                <w:sz w:val="21"/>
                <w:szCs w:val="21"/>
              </w:rPr>
              <w:t>水体类别</w:t>
            </w:r>
          </w:p>
        </w:tc>
        <w:tc>
          <w:tcPr>
            <w:tcW w:w="3660" w:type="pct"/>
            <w:noWrap w:val="0"/>
            <w:tcMar>
              <w:top w:w="0" w:type="dxa"/>
              <w:left w:w="57" w:type="dxa"/>
              <w:bottom w:w="0" w:type="dxa"/>
              <w:right w:w="57" w:type="dxa"/>
            </w:tcMar>
            <w:vAlign w:val="center"/>
          </w:tcPr>
          <w:p w14:paraId="4E288BBC">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V类水体</w:t>
            </w:r>
          </w:p>
        </w:tc>
        <w:tc>
          <w:tcPr>
            <w:tcW w:w="625" w:type="pct"/>
            <w:noWrap w:val="0"/>
            <w:tcMar>
              <w:top w:w="0" w:type="dxa"/>
              <w:left w:w="57" w:type="dxa"/>
              <w:bottom w:w="0" w:type="dxa"/>
              <w:right w:w="57" w:type="dxa"/>
            </w:tcMar>
            <w:vAlign w:val="center"/>
          </w:tcPr>
          <w:p w14:paraId="40841965">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2967B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5" w:type="pct"/>
            <w:vMerge w:val="continue"/>
            <w:noWrap w:val="0"/>
            <w:vAlign w:val="center"/>
          </w:tcPr>
          <w:p w14:paraId="53E30422">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660" w:type="pct"/>
            <w:noWrap w:val="0"/>
            <w:tcMar>
              <w:top w:w="0" w:type="dxa"/>
              <w:left w:w="57" w:type="dxa"/>
              <w:bottom w:w="0" w:type="dxa"/>
              <w:right w:w="57" w:type="dxa"/>
            </w:tcMar>
            <w:vAlign w:val="center"/>
          </w:tcPr>
          <w:p w14:paraId="6F26C2D1">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Ⅳ类</w:t>
            </w:r>
            <w:r>
              <w:rPr>
                <w:rFonts w:cs="Times New Roman"/>
                <w:sz w:val="21"/>
                <w:szCs w:val="21"/>
              </w:rPr>
              <w:t>水体</w:t>
            </w:r>
          </w:p>
        </w:tc>
        <w:tc>
          <w:tcPr>
            <w:tcW w:w="625" w:type="pct"/>
            <w:noWrap w:val="0"/>
            <w:tcMar>
              <w:top w:w="0" w:type="dxa"/>
              <w:left w:w="57" w:type="dxa"/>
              <w:bottom w:w="0" w:type="dxa"/>
              <w:right w:w="57" w:type="dxa"/>
            </w:tcMar>
            <w:vAlign w:val="center"/>
          </w:tcPr>
          <w:p w14:paraId="3F8296FE">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2</w:t>
            </w:r>
          </w:p>
        </w:tc>
      </w:tr>
      <w:tr w14:paraId="2E9CB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5" w:type="pct"/>
            <w:vMerge w:val="continue"/>
            <w:noWrap w:val="0"/>
            <w:vAlign w:val="center"/>
          </w:tcPr>
          <w:p w14:paraId="53DC1A6F">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660" w:type="pct"/>
            <w:noWrap w:val="0"/>
            <w:tcMar>
              <w:top w:w="0" w:type="dxa"/>
              <w:left w:w="57" w:type="dxa"/>
              <w:bottom w:w="0" w:type="dxa"/>
              <w:right w:w="57" w:type="dxa"/>
            </w:tcMar>
            <w:vAlign w:val="center"/>
          </w:tcPr>
          <w:p w14:paraId="168933D4">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Ⅲ类</w:t>
            </w:r>
            <w:r>
              <w:rPr>
                <w:rFonts w:cs="Times New Roman"/>
                <w:sz w:val="21"/>
                <w:szCs w:val="21"/>
              </w:rPr>
              <w:t>水体</w:t>
            </w:r>
          </w:p>
        </w:tc>
        <w:tc>
          <w:tcPr>
            <w:tcW w:w="625" w:type="pct"/>
            <w:noWrap w:val="0"/>
            <w:tcMar>
              <w:top w:w="0" w:type="dxa"/>
              <w:left w:w="57" w:type="dxa"/>
              <w:bottom w:w="0" w:type="dxa"/>
              <w:right w:w="57" w:type="dxa"/>
            </w:tcMar>
            <w:vAlign w:val="center"/>
          </w:tcPr>
          <w:p w14:paraId="71D5F597">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27C6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5" w:type="pct"/>
            <w:vMerge w:val="continue"/>
            <w:noWrap w:val="0"/>
            <w:vAlign w:val="center"/>
          </w:tcPr>
          <w:p w14:paraId="14C49BEF">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660" w:type="pct"/>
            <w:noWrap w:val="0"/>
            <w:tcMar>
              <w:top w:w="0" w:type="dxa"/>
              <w:left w:w="57" w:type="dxa"/>
              <w:bottom w:w="0" w:type="dxa"/>
              <w:right w:w="57" w:type="dxa"/>
            </w:tcMar>
            <w:vAlign w:val="center"/>
          </w:tcPr>
          <w:p w14:paraId="4B3395FE">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I、II类水体</w:t>
            </w:r>
          </w:p>
        </w:tc>
        <w:tc>
          <w:tcPr>
            <w:tcW w:w="625" w:type="pct"/>
            <w:noWrap w:val="0"/>
            <w:tcMar>
              <w:top w:w="0" w:type="dxa"/>
              <w:left w:w="57" w:type="dxa"/>
              <w:bottom w:w="0" w:type="dxa"/>
              <w:right w:w="57" w:type="dxa"/>
            </w:tcMar>
            <w:vAlign w:val="center"/>
          </w:tcPr>
          <w:p w14:paraId="3F6C323A">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pacing w:val="1"/>
                <w:sz w:val="21"/>
                <w:szCs w:val="21"/>
              </w:rPr>
              <w:t>4</w:t>
            </w:r>
          </w:p>
        </w:tc>
      </w:tr>
      <w:tr w14:paraId="5B37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5" w:type="pct"/>
            <w:vMerge w:val="continue"/>
            <w:noWrap w:val="0"/>
            <w:vAlign w:val="center"/>
          </w:tcPr>
          <w:p w14:paraId="3B8512A0">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660" w:type="pct"/>
            <w:noWrap w:val="0"/>
            <w:tcMar>
              <w:top w:w="0" w:type="dxa"/>
              <w:left w:w="57" w:type="dxa"/>
              <w:bottom w:w="0" w:type="dxa"/>
              <w:right w:w="57" w:type="dxa"/>
            </w:tcMar>
            <w:vAlign w:val="center"/>
          </w:tcPr>
          <w:p w14:paraId="479F23AD">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饮用水水源保护区</w:t>
            </w:r>
          </w:p>
        </w:tc>
        <w:tc>
          <w:tcPr>
            <w:tcW w:w="625" w:type="pct"/>
            <w:noWrap w:val="0"/>
            <w:tcMar>
              <w:top w:w="0" w:type="dxa"/>
              <w:left w:w="57" w:type="dxa"/>
              <w:bottom w:w="0" w:type="dxa"/>
              <w:right w:w="57" w:type="dxa"/>
            </w:tcMar>
            <w:vAlign w:val="center"/>
          </w:tcPr>
          <w:p w14:paraId="63146A1D">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bl>
    <w:p w14:paraId="54A685F0">
      <w:pPr>
        <w:spacing w:before="120" w:beforeLines="50" w:line="560" w:lineRule="exact"/>
        <w:jc w:val="both"/>
        <w:outlineLvl w:val="2"/>
        <w:rPr>
          <w:rFonts w:ascii="Times New Roman" w:hAnsi="Times New Roman" w:eastAsia="方正仿宋_GBK"/>
          <w:sz w:val="32"/>
          <w:szCs w:val="32"/>
        </w:rPr>
      </w:pPr>
      <w:bookmarkStart w:id="26" w:name="_Toc19793"/>
      <w:bookmarkStart w:id="27" w:name="_Toc27234"/>
      <w:r>
        <w:rPr>
          <w:rFonts w:hint="eastAsia" w:ascii="Times New Roman" w:hAnsi="Times New Roman" w:eastAsia="黑体"/>
          <w:b/>
          <w:sz w:val="24"/>
        </w:rPr>
        <w:t>2.向水体排放、倾倒工业废渣、城镇垃圾或者其他废弃物，或者向江河湖泊、运河、渠道、水库及其最高水位线以下的滩地、岸坡以及法律法规规定的其他地点倾倒、堆放、贮存固体废物或者其他污染</w:t>
      </w:r>
      <w:r>
        <w:rPr>
          <w:rFonts w:ascii="Times New Roman" w:hAnsi="Times New Roman" w:eastAsia="黑体"/>
          <w:b/>
          <w:sz w:val="24"/>
        </w:rPr>
        <w:t>的行为</w:t>
      </w:r>
      <w:bookmarkEnd w:id="26"/>
      <w:bookmarkEnd w:id="27"/>
    </w:p>
    <w:tbl>
      <w:tblPr>
        <w:tblStyle w:val="8"/>
        <w:tblW w:w="90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88"/>
        <w:gridCol w:w="6646"/>
        <w:gridCol w:w="1098"/>
      </w:tblGrid>
      <w:tr w14:paraId="11C58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 w:hRule="atLeast"/>
          <w:jc w:val="center"/>
        </w:trPr>
        <w:tc>
          <w:tcPr>
            <w:tcW w:w="713" w:type="pct"/>
            <w:noWrap w:val="0"/>
            <w:vAlign w:val="center"/>
          </w:tcPr>
          <w:p w14:paraId="57ABB4B7">
            <w:pPr>
              <w:overflowPunct w:val="0"/>
              <w:autoSpaceDE w:val="0"/>
              <w:autoSpaceDN w:val="0"/>
              <w:adjustRightInd w:val="0"/>
              <w:snapToGrid w:val="0"/>
              <w:spacing w:before="20" w:after="20" w:line="300" w:lineRule="auto"/>
              <w:jc w:val="center"/>
              <w:rPr>
                <w:rFonts w:hint="eastAsia" w:ascii="宋体" w:hAnsi="宋体" w:eastAsia="宋体"/>
                <w:b/>
                <w:sz w:val="21"/>
                <w:szCs w:val="21"/>
              </w:rPr>
            </w:pPr>
            <w:r>
              <w:rPr>
                <w:rFonts w:ascii="宋体" w:hAnsi="宋体" w:eastAsia="宋体"/>
                <w:b/>
                <w:sz w:val="21"/>
                <w:szCs w:val="21"/>
              </w:rPr>
              <w:t>违反条款</w:t>
            </w:r>
          </w:p>
        </w:tc>
        <w:tc>
          <w:tcPr>
            <w:tcW w:w="4287" w:type="pct"/>
            <w:gridSpan w:val="2"/>
            <w:noWrap w:val="0"/>
            <w:tcMar>
              <w:top w:w="0" w:type="dxa"/>
              <w:left w:w="57" w:type="dxa"/>
              <w:bottom w:w="0" w:type="dxa"/>
              <w:right w:w="57" w:type="dxa"/>
            </w:tcMar>
            <w:vAlign w:val="center"/>
          </w:tcPr>
          <w:p w14:paraId="0D4D621B">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1．《中华人民共和国生态环境法典》第二百八十二条第一款 禁止向水体排放、倾倒工业废渣、城镇垃圾和其他废弃物。</w:t>
            </w:r>
          </w:p>
          <w:p w14:paraId="03878A91">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第一百六十四条第二款 禁止向江河湖泊、运河、渠道、水库及其最高水位线以下的滩地和岸坡以及法律法规规定的其他地点倾倒、堆放、贮存固体废物和其他污染物。</w:t>
            </w:r>
          </w:p>
          <w:p w14:paraId="434C2559">
            <w:pPr>
              <w:pStyle w:val="20"/>
              <w:autoSpaceDE w:val="0"/>
              <w:autoSpaceDN w:val="0"/>
              <w:adjustRightInd w:val="0"/>
              <w:snapToGrid w:val="0"/>
              <w:spacing w:before="20" w:after="20" w:line="300" w:lineRule="auto"/>
              <w:ind w:left="0" w:right="0" w:rightChars="0" w:firstLine="0"/>
              <w:textAlignment w:val="baseline"/>
              <w:rPr>
                <w:rFonts w:hint="eastAsia" w:cs="Times New Roman"/>
                <w:b/>
                <w:bCs/>
                <w:sz w:val="21"/>
                <w:szCs w:val="21"/>
              </w:rPr>
            </w:pPr>
            <w:r>
              <w:rPr>
                <w:rFonts w:cs="Times New Roman"/>
                <w:b/>
                <w:bCs/>
                <w:sz w:val="21"/>
                <w:szCs w:val="21"/>
              </w:rPr>
              <w:t>2.《云南省滇池保护条例》（2026修订版）第二十七条第五项 绿色发展区禁止下列行为：（五）向水体排放、倾倒工业废渣、城镇垃圾或者其他废弃物；</w:t>
            </w:r>
          </w:p>
        </w:tc>
      </w:tr>
      <w:tr w14:paraId="62B22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0" w:hRule="atLeast"/>
          <w:jc w:val="center"/>
        </w:trPr>
        <w:tc>
          <w:tcPr>
            <w:tcW w:w="713" w:type="pct"/>
            <w:noWrap w:val="0"/>
            <w:vAlign w:val="center"/>
          </w:tcPr>
          <w:p w14:paraId="470CF7EA">
            <w:pPr>
              <w:overflowPunct w:val="0"/>
              <w:autoSpaceDE w:val="0"/>
              <w:autoSpaceDN w:val="0"/>
              <w:adjustRightInd w:val="0"/>
              <w:snapToGrid w:val="0"/>
              <w:spacing w:before="20" w:after="20" w:line="300" w:lineRule="auto"/>
              <w:jc w:val="center"/>
              <w:rPr>
                <w:rFonts w:hint="eastAsia" w:ascii="宋体" w:hAnsi="宋体" w:eastAsia="宋体"/>
                <w:b/>
                <w:sz w:val="21"/>
                <w:szCs w:val="21"/>
              </w:rPr>
            </w:pPr>
            <w:r>
              <w:rPr>
                <w:rFonts w:ascii="宋体" w:hAnsi="宋体" w:eastAsia="宋体"/>
                <w:b/>
                <w:sz w:val="21"/>
                <w:szCs w:val="21"/>
              </w:rPr>
              <w:t>处罚依据</w:t>
            </w:r>
          </w:p>
        </w:tc>
        <w:tc>
          <w:tcPr>
            <w:tcW w:w="4287" w:type="pct"/>
            <w:gridSpan w:val="2"/>
            <w:noWrap w:val="0"/>
            <w:tcMar>
              <w:top w:w="0" w:type="dxa"/>
              <w:left w:w="57" w:type="dxa"/>
              <w:bottom w:w="0" w:type="dxa"/>
              <w:right w:w="57" w:type="dxa"/>
            </w:tcMar>
            <w:vAlign w:val="center"/>
          </w:tcPr>
          <w:p w14:paraId="23303BDC">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1.《中华人民共和国生态环境法典》第一千一百三十六条第一款第五项、第二款 违反本法规定，有下列情形之一的，由生态环境主管部门责令停止违法行为，采取治理措施消除污染，处以罚款，可以责令采取限制生产、停产整治等措施；拒不采取治理措施的，可以指定有治理能力的单位代为治理，所需费用由违法者承担；情节严重的，报经有批准权的人民政府批准，责令停业、关闭：</w:t>
            </w:r>
          </w:p>
          <w:p w14:paraId="7C410C5C">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（五）向水体排放、倾倒工业废渣、城镇垃圾或者其他废弃物，或者向江河湖泊、运河、渠道、水库及其最高水位线以下的滩地、岸坡以及法律法规规定的其他地点倾倒、堆放、贮存固体废物或者其他污染物。</w:t>
            </w:r>
          </w:p>
          <w:p w14:paraId="60CAD86D">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有前款第三项、第四项情形之一的，处二万元以上二十万元以下的罚款；有前款第一项、第五项情形之一的，处十万元以上一百万元以下的罚款；有前款第二项情形的，处二十万元以上二百万元以下的罚款。</w:t>
            </w:r>
          </w:p>
          <w:p w14:paraId="7AF2B185">
            <w:pPr>
              <w:pStyle w:val="20"/>
              <w:autoSpaceDE w:val="0"/>
              <w:autoSpaceDN w:val="0"/>
              <w:adjustRightInd w:val="0"/>
              <w:snapToGrid w:val="0"/>
              <w:spacing w:before="20" w:after="20" w:line="300" w:lineRule="auto"/>
              <w:ind w:left="0" w:right="0" w:rightChars="0" w:firstLine="0"/>
              <w:textAlignment w:val="baseline"/>
              <w:rPr>
                <w:rFonts w:hint="eastAsia" w:cs="Times New Roman"/>
                <w:b/>
                <w:bCs/>
                <w:sz w:val="21"/>
                <w:szCs w:val="21"/>
              </w:rPr>
            </w:pPr>
            <w:r>
              <w:rPr>
                <w:rFonts w:cs="Times New Roman"/>
                <w:b/>
                <w:bCs/>
                <w:sz w:val="21"/>
                <w:szCs w:val="21"/>
              </w:rPr>
              <w:t>2.《云南省滇池保护条例》（2026修订版）第八十条第二款 违反本条例第二十七条第一项至第六项规定的，由生态环境主管部门依法查处。</w:t>
            </w:r>
          </w:p>
        </w:tc>
      </w:tr>
      <w:tr w14:paraId="37340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3" w:type="pct"/>
            <w:noWrap w:val="0"/>
            <w:vAlign w:val="center"/>
          </w:tcPr>
          <w:p w14:paraId="1E289CB3">
            <w:pPr>
              <w:overflowPunct w:val="0"/>
              <w:autoSpaceDE w:val="0"/>
              <w:autoSpaceDN w:val="0"/>
              <w:adjustRightInd w:val="0"/>
              <w:snapToGrid w:val="0"/>
              <w:spacing w:before="20" w:after="20" w:line="300" w:lineRule="auto"/>
              <w:jc w:val="center"/>
              <w:rPr>
                <w:rFonts w:hint="eastAsia" w:ascii="宋体" w:hAnsi="宋体" w:eastAsia="宋体"/>
                <w:b/>
                <w:sz w:val="21"/>
                <w:szCs w:val="21"/>
              </w:rPr>
            </w:pPr>
            <w:r>
              <w:rPr>
                <w:rFonts w:ascii="宋体" w:hAnsi="宋体" w:eastAsia="宋体"/>
                <w:b/>
                <w:sz w:val="21"/>
                <w:szCs w:val="21"/>
              </w:rPr>
              <w:t>裁量因素</w:t>
            </w:r>
          </w:p>
        </w:tc>
        <w:tc>
          <w:tcPr>
            <w:tcW w:w="3679" w:type="pct"/>
            <w:noWrap w:val="0"/>
            <w:tcMar>
              <w:top w:w="0" w:type="dxa"/>
              <w:left w:w="57" w:type="dxa"/>
              <w:bottom w:w="0" w:type="dxa"/>
              <w:right w:w="57" w:type="dxa"/>
            </w:tcMar>
            <w:vAlign w:val="center"/>
          </w:tcPr>
          <w:p w14:paraId="0A732976">
            <w:pPr>
              <w:overflowPunct w:val="0"/>
              <w:autoSpaceDE w:val="0"/>
              <w:autoSpaceDN w:val="0"/>
              <w:adjustRightInd w:val="0"/>
              <w:snapToGrid w:val="0"/>
              <w:spacing w:before="20" w:after="20" w:line="300" w:lineRule="auto"/>
              <w:jc w:val="center"/>
              <w:rPr>
                <w:rFonts w:hint="eastAsia" w:ascii="宋体" w:hAnsi="宋体" w:eastAsia="宋体"/>
                <w:b/>
                <w:sz w:val="21"/>
                <w:szCs w:val="21"/>
              </w:rPr>
            </w:pPr>
            <w:r>
              <w:rPr>
                <w:rFonts w:ascii="宋体" w:hAnsi="宋体" w:eastAsia="宋体"/>
                <w:b/>
                <w:sz w:val="21"/>
                <w:szCs w:val="21"/>
              </w:rPr>
              <w:t>裁量因子</w:t>
            </w:r>
          </w:p>
        </w:tc>
        <w:tc>
          <w:tcPr>
            <w:tcW w:w="608" w:type="pct"/>
            <w:noWrap w:val="0"/>
            <w:tcMar>
              <w:top w:w="0" w:type="dxa"/>
              <w:left w:w="57" w:type="dxa"/>
              <w:bottom w:w="0" w:type="dxa"/>
              <w:right w:w="57" w:type="dxa"/>
            </w:tcMar>
            <w:vAlign w:val="center"/>
          </w:tcPr>
          <w:p w14:paraId="59E2C4D0">
            <w:pPr>
              <w:overflowPunct w:val="0"/>
              <w:autoSpaceDE w:val="0"/>
              <w:autoSpaceDN w:val="0"/>
              <w:adjustRightInd w:val="0"/>
              <w:snapToGrid w:val="0"/>
              <w:spacing w:before="20" w:after="20" w:line="300" w:lineRule="auto"/>
              <w:jc w:val="center"/>
              <w:rPr>
                <w:rFonts w:hint="eastAsia" w:ascii="宋体" w:hAnsi="宋体" w:eastAsia="宋体"/>
                <w:b/>
                <w:sz w:val="21"/>
                <w:szCs w:val="21"/>
              </w:rPr>
            </w:pPr>
            <w:r>
              <w:rPr>
                <w:rFonts w:ascii="宋体" w:hAnsi="宋体" w:eastAsia="宋体"/>
                <w:b/>
                <w:sz w:val="21"/>
                <w:szCs w:val="21"/>
              </w:rPr>
              <w:t>裁量等级</w:t>
            </w:r>
          </w:p>
        </w:tc>
      </w:tr>
      <w:tr w14:paraId="7351A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3" w:type="pct"/>
            <w:vMerge w:val="restart"/>
            <w:noWrap w:val="0"/>
            <w:vAlign w:val="center"/>
          </w:tcPr>
          <w:p w14:paraId="5A54D230">
            <w:pPr>
              <w:overflowPunct w:val="0"/>
              <w:autoSpaceDE w:val="0"/>
              <w:autoSpaceDN w:val="0"/>
              <w:adjustRightInd w:val="0"/>
              <w:snapToGrid w:val="0"/>
              <w:spacing w:before="20" w:after="20" w:line="300" w:lineRule="auto"/>
              <w:jc w:val="center"/>
              <w:rPr>
                <w:rFonts w:hint="eastAsia" w:ascii="宋体" w:hAnsi="宋体" w:eastAsia="宋体"/>
                <w:b/>
                <w:sz w:val="21"/>
                <w:szCs w:val="21"/>
              </w:rPr>
            </w:pPr>
            <w:r>
              <w:rPr>
                <w:rFonts w:ascii="宋体" w:hAnsi="宋体" w:eastAsia="宋体"/>
                <w:b/>
                <w:sz w:val="21"/>
                <w:szCs w:val="21"/>
              </w:rPr>
              <w:t>污染物数量</w:t>
            </w:r>
          </w:p>
        </w:tc>
        <w:tc>
          <w:tcPr>
            <w:tcW w:w="3679" w:type="pct"/>
            <w:noWrap w:val="0"/>
            <w:tcMar>
              <w:top w:w="0" w:type="dxa"/>
              <w:left w:w="57" w:type="dxa"/>
              <w:bottom w:w="0" w:type="dxa"/>
              <w:right w:w="57" w:type="dxa"/>
            </w:tcMar>
            <w:vAlign w:val="center"/>
          </w:tcPr>
          <w:p w14:paraId="514CCCB1">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不足</w:t>
            </w:r>
            <w:r>
              <w:rPr>
                <w:rFonts w:cs="Times New Roman"/>
                <w:sz w:val="21"/>
                <w:szCs w:val="21"/>
              </w:rPr>
              <w:t>2吨</w:t>
            </w:r>
          </w:p>
        </w:tc>
        <w:tc>
          <w:tcPr>
            <w:tcW w:w="608" w:type="pct"/>
            <w:noWrap w:val="0"/>
            <w:tcMar>
              <w:top w:w="0" w:type="dxa"/>
              <w:left w:w="57" w:type="dxa"/>
              <w:bottom w:w="0" w:type="dxa"/>
              <w:right w:w="57" w:type="dxa"/>
            </w:tcMar>
            <w:vAlign w:val="center"/>
          </w:tcPr>
          <w:p w14:paraId="5C2ADC3A">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3CF66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3" w:type="pct"/>
            <w:vMerge w:val="continue"/>
            <w:noWrap w:val="0"/>
            <w:vAlign w:val="center"/>
          </w:tcPr>
          <w:p w14:paraId="08E7FFE1">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679" w:type="pct"/>
            <w:noWrap w:val="0"/>
            <w:tcMar>
              <w:top w:w="0" w:type="dxa"/>
              <w:left w:w="57" w:type="dxa"/>
              <w:bottom w:w="0" w:type="dxa"/>
              <w:right w:w="57" w:type="dxa"/>
            </w:tcMar>
            <w:vAlign w:val="center"/>
          </w:tcPr>
          <w:p w14:paraId="68A6DAE6">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2吨以上</w:t>
            </w:r>
            <w:r>
              <w:rPr>
                <w:rFonts w:hint="eastAsia" w:cs="Times New Roman"/>
                <w:sz w:val="21"/>
                <w:szCs w:val="21"/>
              </w:rPr>
              <w:t>不足</w:t>
            </w:r>
            <w:r>
              <w:rPr>
                <w:rFonts w:cs="Times New Roman"/>
                <w:sz w:val="21"/>
                <w:szCs w:val="21"/>
              </w:rPr>
              <w:t>5吨</w:t>
            </w:r>
          </w:p>
        </w:tc>
        <w:tc>
          <w:tcPr>
            <w:tcW w:w="608" w:type="pct"/>
            <w:noWrap w:val="0"/>
            <w:tcMar>
              <w:top w:w="0" w:type="dxa"/>
              <w:left w:w="57" w:type="dxa"/>
              <w:bottom w:w="0" w:type="dxa"/>
              <w:right w:w="57" w:type="dxa"/>
            </w:tcMar>
            <w:vAlign w:val="center"/>
          </w:tcPr>
          <w:p w14:paraId="27576662">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2</w:t>
            </w:r>
          </w:p>
        </w:tc>
      </w:tr>
      <w:tr w14:paraId="621BC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3" w:type="pct"/>
            <w:vMerge w:val="continue"/>
            <w:noWrap w:val="0"/>
            <w:vAlign w:val="center"/>
          </w:tcPr>
          <w:p w14:paraId="09FA0B58">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679" w:type="pct"/>
            <w:noWrap w:val="0"/>
            <w:tcMar>
              <w:top w:w="0" w:type="dxa"/>
              <w:left w:w="57" w:type="dxa"/>
              <w:bottom w:w="0" w:type="dxa"/>
              <w:right w:w="57" w:type="dxa"/>
            </w:tcMar>
            <w:vAlign w:val="center"/>
          </w:tcPr>
          <w:p w14:paraId="1ADC288C">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5吨以上</w:t>
            </w:r>
            <w:r>
              <w:rPr>
                <w:rFonts w:hint="eastAsia" w:cs="Times New Roman"/>
                <w:sz w:val="21"/>
                <w:szCs w:val="21"/>
              </w:rPr>
              <w:t>不足</w:t>
            </w:r>
            <w:r>
              <w:rPr>
                <w:rFonts w:cs="Times New Roman"/>
                <w:sz w:val="21"/>
                <w:szCs w:val="21"/>
              </w:rPr>
              <w:t>10吨</w:t>
            </w:r>
          </w:p>
        </w:tc>
        <w:tc>
          <w:tcPr>
            <w:tcW w:w="608" w:type="pct"/>
            <w:noWrap w:val="0"/>
            <w:tcMar>
              <w:top w:w="0" w:type="dxa"/>
              <w:left w:w="57" w:type="dxa"/>
              <w:bottom w:w="0" w:type="dxa"/>
              <w:right w:w="57" w:type="dxa"/>
            </w:tcMar>
            <w:vAlign w:val="center"/>
          </w:tcPr>
          <w:p w14:paraId="4A976D65">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02B1F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3" w:type="pct"/>
            <w:vMerge w:val="continue"/>
            <w:noWrap w:val="0"/>
            <w:vAlign w:val="center"/>
          </w:tcPr>
          <w:p w14:paraId="36758753">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679" w:type="pct"/>
            <w:noWrap w:val="0"/>
            <w:tcMar>
              <w:top w:w="0" w:type="dxa"/>
              <w:left w:w="57" w:type="dxa"/>
              <w:bottom w:w="0" w:type="dxa"/>
              <w:right w:w="57" w:type="dxa"/>
            </w:tcMar>
            <w:vAlign w:val="center"/>
          </w:tcPr>
          <w:p w14:paraId="006BAC1D">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10吨以上</w:t>
            </w:r>
            <w:r>
              <w:rPr>
                <w:rFonts w:hint="eastAsia" w:cs="Times New Roman"/>
                <w:sz w:val="21"/>
                <w:szCs w:val="21"/>
              </w:rPr>
              <w:t>不足</w:t>
            </w:r>
            <w:r>
              <w:rPr>
                <w:rFonts w:cs="Times New Roman"/>
                <w:sz w:val="21"/>
                <w:szCs w:val="21"/>
              </w:rPr>
              <w:t>20吨</w:t>
            </w:r>
          </w:p>
        </w:tc>
        <w:tc>
          <w:tcPr>
            <w:tcW w:w="608" w:type="pct"/>
            <w:noWrap w:val="0"/>
            <w:tcMar>
              <w:top w:w="0" w:type="dxa"/>
              <w:left w:w="57" w:type="dxa"/>
              <w:bottom w:w="0" w:type="dxa"/>
              <w:right w:w="57" w:type="dxa"/>
            </w:tcMar>
            <w:vAlign w:val="center"/>
          </w:tcPr>
          <w:p w14:paraId="1C41C81B">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pacing w:val="1"/>
                <w:sz w:val="21"/>
                <w:szCs w:val="21"/>
              </w:rPr>
              <w:t>4</w:t>
            </w:r>
          </w:p>
        </w:tc>
      </w:tr>
      <w:tr w14:paraId="79373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3" w:type="pct"/>
            <w:vMerge w:val="continue"/>
            <w:noWrap w:val="0"/>
            <w:vAlign w:val="center"/>
          </w:tcPr>
          <w:p w14:paraId="467EB4D8">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679" w:type="pct"/>
            <w:noWrap w:val="0"/>
            <w:tcMar>
              <w:top w:w="0" w:type="dxa"/>
              <w:left w:w="57" w:type="dxa"/>
              <w:bottom w:w="0" w:type="dxa"/>
              <w:right w:w="57" w:type="dxa"/>
            </w:tcMar>
            <w:vAlign w:val="center"/>
          </w:tcPr>
          <w:p w14:paraId="7CD96559">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20吨以上</w:t>
            </w:r>
          </w:p>
        </w:tc>
        <w:tc>
          <w:tcPr>
            <w:tcW w:w="608" w:type="pct"/>
            <w:noWrap w:val="0"/>
            <w:tcMar>
              <w:top w:w="0" w:type="dxa"/>
              <w:left w:w="57" w:type="dxa"/>
              <w:bottom w:w="0" w:type="dxa"/>
              <w:right w:w="57" w:type="dxa"/>
            </w:tcMar>
            <w:vAlign w:val="center"/>
          </w:tcPr>
          <w:p w14:paraId="0D73E282">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32845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3" w:type="pct"/>
            <w:vMerge w:val="restart"/>
            <w:noWrap w:val="0"/>
            <w:vAlign w:val="center"/>
          </w:tcPr>
          <w:p w14:paraId="198A6EA1">
            <w:pPr>
              <w:overflowPunct w:val="0"/>
              <w:autoSpaceDE w:val="0"/>
              <w:autoSpaceDN w:val="0"/>
              <w:adjustRightInd w:val="0"/>
              <w:snapToGrid w:val="0"/>
              <w:spacing w:before="20" w:after="20" w:line="300" w:lineRule="auto"/>
              <w:jc w:val="center"/>
              <w:rPr>
                <w:rFonts w:hint="eastAsia" w:ascii="宋体" w:hAnsi="宋体" w:eastAsia="宋体"/>
                <w:b/>
                <w:sz w:val="21"/>
                <w:szCs w:val="21"/>
              </w:rPr>
            </w:pPr>
            <w:r>
              <w:rPr>
                <w:rFonts w:ascii="宋体" w:hAnsi="宋体" w:eastAsia="宋体"/>
                <w:b/>
                <w:sz w:val="21"/>
                <w:szCs w:val="21"/>
              </w:rPr>
              <w:t>水体类别</w:t>
            </w:r>
          </w:p>
        </w:tc>
        <w:tc>
          <w:tcPr>
            <w:tcW w:w="3679" w:type="pct"/>
            <w:noWrap w:val="0"/>
            <w:tcMar>
              <w:top w:w="0" w:type="dxa"/>
              <w:left w:w="57" w:type="dxa"/>
              <w:bottom w:w="0" w:type="dxa"/>
              <w:right w:w="57" w:type="dxa"/>
            </w:tcMar>
            <w:vAlign w:val="center"/>
          </w:tcPr>
          <w:p w14:paraId="17A0CF70">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V类水体</w:t>
            </w:r>
          </w:p>
        </w:tc>
        <w:tc>
          <w:tcPr>
            <w:tcW w:w="608" w:type="pct"/>
            <w:noWrap w:val="0"/>
            <w:tcMar>
              <w:top w:w="0" w:type="dxa"/>
              <w:left w:w="57" w:type="dxa"/>
              <w:bottom w:w="0" w:type="dxa"/>
              <w:right w:w="57" w:type="dxa"/>
            </w:tcMar>
            <w:vAlign w:val="center"/>
          </w:tcPr>
          <w:p w14:paraId="2B38981D">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12051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3" w:type="pct"/>
            <w:vMerge w:val="continue"/>
            <w:noWrap w:val="0"/>
            <w:vAlign w:val="center"/>
          </w:tcPr>
          <w:p w14:paraId="0FBF41FD">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679" w:type="pct"/>
            <w:noWrap w:val="0"/>
            <w:tcMar>
              <w:top w:w="0" w:type="dxa"/>
              <w:left w:w="57" w:type="dxa"/>
              <w:bottom w:w="0" w:type="dxa"/>
              <w:right w:w="57" w:type="dxa"/>
            </w:tcMar>
            <w:vAlign w:val="center"/>
          </w:tcPr>
          <w:p w14:paraId="5C077AA3">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Ⅳ类</w:t>
            </w:r>
            <w:r>
              <w:rPr>
                <w:rFonts w:cs="Times New Roman"/>
                <w:spacing w:val="7"/>
                <w:sz w:val="21"/>
                <w:szCs w:val="21"/>
              </w:rPr>
              <w:t>水体</w:t>
            </w:r>
          </w:p>
        </w:tc>
        <w:tc>
          <w:tcPr>
            <w:tcW w:w="608" w:type="pct"/>
            <w:noWrap w:val="0"/>
            <w:tcMar>
              <w:top w:w="0" w:type="dxa"/>
              <w:left w:w="57" w:type="dxa"/>
              <w:bottom w:w="0" w:type="dxa"/>
              <w:right w:w="57" w:type="dxa"/>
            </w:tcMar>
            <w:vAlign w:val="center"/>
          </w:tcPr>
          <w:p w14:paraId="30E69C72">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2</w:t>
            </w:r>
          </w:p>
        </w:tc>
      </w:tr>
      <w:tr w14:paraId="159BA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3" w:type="pct"/>
            <w:vMerge w:val="continue"/>
            <w:noWrap w:val="0"/>
            <w:vAlign w:val="center"/>
          </w:tcPr>
          <w:p w14:paraId="23019DD9">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679" w:type="pct"/>
            <w:noWrap w:val="0"/>
            <w:tcMar>
              <w:top w:w="0" w:type="dxa"/>
              <w:left w:w="57" w:type="dxa"/>
              <w:bottom w:w="0" w:type="dxa"/>
              <w:right w:w="57" w:type="dxa"/>
            </w:tcMar>
            <w:vAlign w:val="center"/>
          </w:tcPr>
          <w:p w14:paraId="24F1B1BE">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Ⅲ类</w:t>
            </w:r>
            <w:r>
              <w:rPr>
                <w:rFonts w:cs="Times New Roman"/>
                <w:spacing w:val="7"/>
                <w:sz w:val="21"/>
                <w:szCs w:val="21"/>
              </w:rPr>
              <w:t>水体</w:t>
            </w:r>
          </w:p>
        </w:tc>
        <w:tc>
          <w:tcPr>
            <w:tcW w:w="608" w:type="pct"/>
            <w:noWrap w:val="0"/>
            <w:tcMar>
              <w:top w:w="0" w:type="dxa"/>
              <w:left w:w="57" w:type="dxa"/>
              <w:bottom w:w="0" w:type="dxa"/>
              <w:right w:w="57" w:type="dxa"/>
            </w:tcMar>
            <w:vAlign w:val="center"/>
          </w:tcPr>
          <w:p w14:paraId="3A493893">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0325C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3" w:type="pct"/>
            <w:vMerge w:val="continue"/>
            <w:noWrap w:val="0"/>
            <w:vAlign w:val="center"/>
          </w:tcPr>
          <w:p w14:paraId="01E422CA">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679" w:type="pct"/>
            <w:noWrap w:val="0"/>
            <w:tcMar>
              <w:top w:w="0" w:type="dxa"/>
              <w:left w:w="57" w:type="dxa"/>
              <w:bottom w:w="0" w:type="dxa"/>
              <w:right w:w="57" w:type="dxa"/>
            </w:tcMar>
            <w:vAlign w:val="center"/>
          </w:tcPr>
          <w:p w14:paraId="57EEDE0F">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I、II类水体</w:t>
            </w:r>
          </w:p>
        </w:tc>
        <w:tc>
          <w:tcPr>
            <w:tcW w:w="608" w:type="pct"/>
            <w:noWrap w:val="0"/>
            <w:tcMar>
              <w:top w:w="0" w:type="dxa"/>
              <w:left w:w="57" w:type="dxa"/>
              <w:bottom w:w="0" w:type="dxa"/>
              <w:right w:w="57" w:type="dxa"/>
            </w:tcMar>
            <w:vAlign w:val="center"/>
          </w:tcPr>
          <w:p w14:paraId="0B5F1286">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pacing w:val="1"/>
                <w:sz w:val="21"/>
                <w:szCs w:val="21"/>
              </w:rPr>
              <w:t>4</w:t>
            </w:r>
          </w:p>
        </w:tc>
      </w:tr>
      <w:tr w14:paraId="021E8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3" w:type="pct"/>
            <w:vMerge w:val="continue"/>
            <w:noWrap w:val="0"/>
            <w:vAlign w:val="center"/>
          </w:tcPr>
          <w:p w14:paraId="21B69B25">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679" w:type="pct"/>
            <w:noWrap w:val="0"/>
            <w:tcMar>
              <w:top w:w="0" w:type="dxa"/>
              <w:left w:w="57" w:type="dxa"/>
              <w:bottom w:w="0" w:type="dxa"/>
              <w:right w:w="57" w:type="dxa"/>
            </w:tcMar>
            <w:vAlign w:val="center"/>
          </w:tcPr>
          <w:p w14:paraId="7F2EAD96">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饮用水水源保护区</w:t>
            </w:r>
          </w:p>
        </w:tc>
        <w:tc>
          <w:tcPr>
            <w:tcW w:w="608" w:type="pct"/>
            <w:noWrap w:val="0"/>
            <w:tcMar>
              <w:top w:w="0" w:type="dxa"/>
              <w:left w:w="57" w:type="dxa"/>
              <w:bottom w:w="0" w:type="dxa"/>
              <w:right w:w="57" w:type="dxa"/>
            </w:tcMar>
            <w:vAlign w:val="center"/>
          </w:tcPr>
          <w:p w14:paraId="479EBF99">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6D73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3" w:type="pct"/>
            <w:vMerge w:val="restart"/>
            <w:noWrap w:val="0"/>
            <w:vAlign w:val="center"/>
          </w:tcPr>
          <w:p w14:paraId="072FFA9C">
            <w:pPr>
              <w:overflowPunct w:val="0"/>
              <w:autoSpaceDE w:val="0"/>
              <w:autoSpaceDN w:val="0"/>
              <w:adjustRightInd w:val="0"/>
              <w:snapToGrid w:val="0"/>
              <w:spacing w:before="20" w:after="20" w:line="300" w:lineRule="auto"/>
              <w:jc w:val="center"/>
              <w:rPr>
                <w:rFonts w:hint="eastAsia" w:ascii="宋体" w:hAnsi="宋体" w:eastAsia="宋体"/>
                <w:b/>
                <w:sz w:val="21"/>
                <w:szCs w:val="21"/>
              </w:rPr>
            </w:pPr>
            <w:r>
              <w:rPr>
                <w:rFonts w:ascii="宋体" w:hAnsi="宋体" w:eastAsia="宋体"/>
                <w:b/>
                <w:sz w:val="21"/>
                <w:szCs w:val="21"/>
              </w:rPr>
              <w:t>污染物类别</w:t>
            </w:r>
          </w:p>
        </w:tc>
        <w:tc>
          <w:tcPr>
            <w:tcW w:w="3679" w:type="pct"/>
            <w:noWrap w:val="0"/>
            <w:tcMar>
              <w:top w:w="0" w:type="dxa"/>
              <w:left w:w="57" w:type="dxa"/>
              <w:bottom w:w="0" w:type="dxa"/>
              <w:right w:w="57" w:type="dxa"/>
            </w:tcMar>
            <w:vAlign w:val="center"/>
          </w:tcPr>
          <w:p w14:paraId="227CF36E">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其他废弃物</w:t>
            </w:r>
          </w:p>
        </w:tc>
        <w:tc>
          <w:tcPr>
            <w:tcW w:w="608" w:type="pct"/>
            <w:noWrap w:val="0"/>
            <w:tcMar>
              <w:top w:w="0" w:type="dxa"/>
              <w:left w:w="57" w:type="dxa"/>
              <w:bottom w:w="0" w:type="dxa"/>
              <w:right w:w="57" w:type="dxa"/>
            </w:tcMar>
            <w:vAlign w:val="center"/>
          </w:tcPr>
          <w:p w14:paraId="62FDD001">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0A7B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3" w:type="pct"/>
            <w:vMerge w:val="continue"/>
            <w:noWrap w:val="0"/>
            <w:vAlign w:val="center"/>
          </w:tcPr>
          <w:p w14:paraId="3BE97123">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679" w:type="pct"/>
            <w:noWrap w:val="0"/>
            <w:tcMar>
              <w:top w:w="0" w:type="dxa"/>
              <w:left w:w="57" w:type="dxa"/>
              <w:bottom w:w="0" w:type="dxa"/>
              <w:right w:w="57" w:type="dxa"/>
            </w:tcMar>
            <w:vAlign w:val="center"/>
          </w:tcPr>
          <w:p w14:paraId="48FB20AE">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建筑垃圾</w:t>
            </w:r>
          </w:p>
        </w:tc>
        <w:tc>
          <w:tcPr>
            <w:tcW w:w="608" w:type="pct"/>
            <w:noWrap w:val="0"/>
            <w:tcMar>
              <w:top w:w="0" w:type="dxa"/>
              <w:left w:w="57" w:type="dxa"/>
              <w:bottom w:w="0" w:type="dxa"/>
              <w:right w:w="57" w:type="dxa"/>
            </w:tcMar>
            <w:vAlign w:val="center"/>
          </w:tcPr>
          <w:p w14:paraId="3F4C6DE3">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2</w:t>
            </w:r>
          </w:p>
        </w:tc>
      </w:tr>
      <w:tr w14:paraId="4970D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3" w:type="pct"/>
            <w:vMerge w:val="continue"/>
            <w:noWrap w:val="0"/>
            <w:vAlign w:val="center"/>
          </w:tcPr>
          <w:p w14:paraId="606D4749">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679" w:type="pct"/>
            <w:noWrap w:val="0"/>
            <w:tcMar>
              <w:top w:w="0" w:type="dxa"/>
              <w:left w:w="57" w:type="dxa"/>
              <w:bottom w:w="0" w:type="dxa"/>
              <w:right w:w="57" w:type="dxa"/>
            </w:tcMar>
            <w:vAlign w:val="center"/>
          </w:tcPr>
          <w:p w14:paraId="27934F94">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生活垃圾</w:t>
            </w:r>
          </w:p>
        </w:tc>
        <w:tc>
          <w:tcPr>
            <w:tcW w:w="608" w:type="pct"/>
            <w:noWrap w:val="0"/>
            <w:tcMar>
              <w:top w:w="0" w:type="dxa"/>
              <w:left w:w="57" w:type="dxa"/>
              <w:bottom w:w="0" w:type="dxa"/>
              <w:right w:w="57" w:type="dxa"/>
            </w:tcMar>
            <w:vAlign w:val="center"/>
          </w:tcPr>
          <w:p w14:paraId="085083E6">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01BD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3" w:type="pct"/>
            <w:vMerge w:val="continue"/>
            <w:noWrap w:val="0"/>
            <w:vAlign w:val="center"/>
          </w:tcPr>
          <w:p w14:paraId="71E70990">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679" w:type="pct"/>
            <w:noWrap w:val="0"/>
            <w:tcMar>
              <w:top w:w="0" w:type="dxa"/>
              <w:left w:w="57" w:type="dxa"/>
              <w:bottom w:w="0" w:type="dxa"/>
              <w:right w:w="57" w:type="dxa"/>
            </w:tcMar>
            <w:vAlign w:val="center"/>
          </w:tcPr>
          <w:p w14:paraId="7DFB3333">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一般工业固体废物</w:t>
            </w:r>
          </w:p>
        </w:tc>
        <w:tc>
          <w:tcPr>
            <w:tcW w:w="608" w:type="pct"/>
            <w:noWrap w:val="0"/>
            <w:tcMar>
              <w:top w:w="0" w:type="dxa"/>
              <w:left w:w="57" w:type="dxa"/>
              <w:bottom w:w="0" w:type="dxa"/>
              <w:right w:w="57" w:type="dxa"/>
            </w:tcMar>
            <w:vAlign w:val="center"/>
          </w:tcPr>
          <w:p w14:paraId="331BCD89">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pacing w:val="1"/>
                <w:sz w:val="21"/>
                <w:szCs w:val="21"/>
              </w:rPr>
              <w:t>4</w:t>
            </w:r>
          </w:p>
        </w:tc>
      </w:tr>
      <w:tr w14:paraId="2CE40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13" w:type="pct"/>
            <w:vMerge w:val="continue"/>
            <w:noWrap w:val="0"/>
            <w:vAlign w:val="center"/>
          </w:tcPr>
          <w:p w14:paraId="724BD845">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679" w:type="pct"/>
            <w:noWrap w:val="0"/>
            <w:tcMar>
              <w:top w:w="0" w:type="dxa"/>
              <w:left w:w="57" w:type="dxa"/>
              <w:bottom w:w="0" w:type="dxa"/>
              <w:right w:w="57" w:type="dxa"/>
            </w:tcMar>
            <w:vAlign w:val="center"/>
          </w:tcPr>
          <w:p w14:paraId="512F9535">
            <w:pPr>
              <w:pStyle w:val="20"/>
              <w:autoSpaceDE w:val="0"/>
              <w:autoSpaceDN w:val="0"/>
              <w:adjustRightInd w:val="0"/>
              <w:snapToGrid w:val="0"/>
              <w:spacing w:before="20" w:after="20" w:line="300" w:lineRule="auto"/>
              <w:ind w:left="0" w:right="0" w:rightChars="0" w:firstLine="0"/>
              <w:textAlignment w:val="baseline"/>
              <w:rPr>
                <w:rFonts w:hint="eastAsia" w:cs="Times New Roman"/>
                <w:sz w:val="21"/>
                <w:szCs w:val="21"/>
              </w:rPr>
            </w:pPr>
            <w:r>
              <w:rPr>
                <w:rFonts w:cs="Times New Roman"/>
                <w:sz w:val="21"/>
                <w:szCs w:val="21"/>
              </w:rPr>
              <w:t>危险废物</w:t>
            </w:r>
          </w:p>
        </w:tc>
        <w:tc>
          <w:tcPr>
            <w:tcW w:w="608" w:type="pct"/>
            <w:noWrap w:val="0"/>
            <w:tcMar>
              <w:top w:w="0" w:type="dxa"/>
              <w:left w:w="57" w:type="dxa"/>
              <w:bottom w:w="0" w:type="dxa"/>
              <w:right w:w="57" w:type="dxa"/>
            </w:tcMar>
            <w:vAlign w:val="center"/>
          </w:tcPr>
          <w:p w14:paraId="60D7AB39">
            <w:pPr>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bl>
    <w:p w14:paraId="7E33711E">
      <w:pPr>
        <w:spacing w:before="40" w:after="40" w:line="400" w:lineRule="auto"/>
        <w:jc w:val="both"/>
        <w:rPr>
          <w:rFonts w:hint="eastAsia" w:ascii="Times New Roman" w:hAnsi="Times New Roman" w:eastAsia="黑体"/>
          <w:b/>
          <w:sz w:val="24"/>
          <w:lang w:eastAsia="zh-CN"/>
        </w:rPr>
      </w:pPr>
      <w:r>
        <w:rPr>
          <w:rFonts w:hint="eastAsia" w:ascii="Times New Roman" w:hAnsi="Times New Roman" w:eastAsia="黑体"/>
          <w:b/>
          <w:sz w:val="24"/>
        </w:rPr>
        <w:t>3.</w:t>
      </w:r>
      <w:r>
        <w:rPr>
          <w:rFonts w:ascii="Times New Roman" w:hAnsi="Times New Roman" w:eastAsia="黑体"/>
          <w:b/>
          <w:sz w:val="24"/>
        </w:rPr>
        <w:t>利用岩层孔隙、裂隙、溶洞、废弃矿坑等贮存石化原料及产品、农药、危险废物或者其他有毒有害物质的行为</w:t>
      </w:r>
      <w:r>
        <w:rPr>
          <w:rFonts w:hint="eastAsia" w:ascii="Times New Roman" w:hAnsi="Times New Roman" w:eastAsia="黑体"/>
          <w:b/>
          <w:sz w:val="24"/>
          <w:lang w:eastAsia="zh-CN"/>
        </w:rPr>
        <w:t>（新增）</w:t>
      </w:r>
    </w:p>
    <w:tbl>
      <w:tblPr>
        <w:tblStyle w:val="8"/>
        <w:tblW w:w="905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261"/>
        <w:gridCol w:w="6662"/>
        <w:gridCol w:w="1134"/>
      </w:tblGrid>
      <w:tr w14:paraId="64857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61" w:type="dxa"/>
            <w:shd w:val="clear" w:color="auto" w:fill="F2F2F2"/>
            <w:noWrap w:val="0"/>
            <w:vAlign w:val="center"/>
          </w:tcPr>
          <w:p w14:paraId="31EAC685">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违反条款</w:t>
            </w:r>
          </w:p>
        </w:tc>
        <w:tc>
          <w:tcPr>
            <w:tcW w:w="7796" w:type="dxa"/>
            <w:gridSpan w:val="2"/>
            <w:noWrap w:val="0"/>
            <w:vAlign w:val="center"/>
          </w:tcPr>
          <w:p w14:paraId="221F279F">
            <w:pPr>
              <w:spacing w:before="20" w:after="20" w:line="300" w:lineRule="auto"/>
              <w:rPr>
                <w:rFonts w:hint="eastAsia" w:ascii="宋体" w:hAnsi="宋体" w:eastAsia="宋体"/>
                <w:b/>
                <w:bCs w:val="0"/>
                <w:sz w:val="21"/>
                <w:szCs w:val="21"/>
              </w:rPr>
            </w:pPr>
            <w:r>
              <w:rPr>
                <w:rFonts w:ascii="宋体" w:hAnsi="宋体" w:eastAsia="宋体"/>
                <w:b/>
                <w:bCs w:val="0"/>
                <w:sz w:val="21"/>
                <w:szCs w:val="21"/>
              </w:rPr>
              <w:t>《中华人民共和国地下水管理条例》第四十条第二项</w:t>
            </w:r>
            <w:r>
              <w:rPr>
                <w:rFonts w:hint="eastAsia" w:ascii="宋体" w:hAnsi="宋体" w:eastAsia="宋体"/>
                <w:b/>
                <w:bCs w:val="0"/>
                <w:sz w:val="21"/>
                <w:szCs w:val="21"/>
              </w:rPr>
              <w:t xml:space="preserve"> </w:t>
            </w:r>
            <w:r>
              <w:rPr>
                <w:rFonts w:ascii="宋体" w:hAnsi="宋体" w:eastAsia="宋体"/>
                <w:b/>
                <w:bCs w:val="0"/>
                <w:sz w:val="21"/>
                <w:szCs w:val="21"/>
              </w:rPr>
              <w:t>禁止下列污染或者可能污染地下水的行为：（二）利用岩层孔隙、裂隙、溶洞、废弃矿坑等贮存石化原料及产品、农药、危险废物、城镇污水处理设施产生的污泥和处理后的污泥或者其他有毒有害物质。</w:t>
            </w:r>
          </w:p>
        </w:tc>
      </w:tr>
      <w:tr w14:paraId="64DFA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61" w:type="dxa"/>
            <w:shd w:val="clear" w:color="auto" w:fill="F2F2F2"/>
            <w:noWrap w:val="0"/>
            <w:vAlign w:val="center"/>
          </w:tcPr>
          <w:p w14:paraId="67ACCC8A">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处罚依据</w:t>
            </w:r>
          </w:p>
        </w:tc>
        <w:tc>
          <w:tcPr>
            <w:tcW w:w="7796" w:type="dxa"/>
            <w:gridSpan w:val="2"/>
            <w:noWrap w:val="0"/>
            <w:vAlign w:val="center"/>
          </w:tcPr>
          <w:p w14:paraId="6BAB92C6">
            <w:pPr>
              <w:spacing w:before="20" w:after="20" w:line="300" w:lineRule="auto"/>
              <w:rPr>
                <w:rFonts w:hint="eastAsia" w:ascii="宋体" w:hAnsi="宋体" w:eastAsia="宋体"/>
                <w:b/>
                <w:bCs w:val="0"/>
                <w:sz w:val="21"/>
                <w:szCs w:val="21"/>
              </w:rPr>
            </w:pPr>
            <w:r>
              <w:rPr>
                <w:rFonts w:ascii="宋体" w:hAnsi="宋体" w:eastAsia="宋体"/>
                <w:b/>
                <w:bCs w:val="0"/>
                <w:sz w:val="21"/>
                <w:szCs w:val="21"/>
              </w:rPr>
              <w:t>《中华人民共和国地下水管理条例》第五十九条第一款　利用岩层孔隙、裂隙、溶洞、废弃矿坑等贮存石化原料及产品、农药、危险废物或者其他有毒有害物质的，由地方人民政府生态环境主管部门责令限期改正，处十万元以上一百万元以下的罚款。</w:t>
            </w:r>
          </w:p>
        </w:tc>
      </w:tr>
      <w:tr w14:paraId="62E93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61" w:type="dxa"/>
            <w:shd w:val="clear" w:color="auto" w:fill="F2F2F2"/>
            <w:noWrap w:val="0"/>
            <w:vAlign w:val="center"/>
          </w:tcPr>
          <w:p w14:paraId="68B8648F">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裁量因素</w:t>
            </w:r>
          </w:p>
        </w:tc>
        <w:tc>
          <w:tcPr>
            <w:tcW w:w="6662" w:type="dxa"/>
            <w:shd w:val="clear" w:color="auto" w:fill="F2F2F2"/>
            <w:noWrap w:val="0"/>
            <w:vAlign w:val="center"/>
          </w:tcPr>
          <w:p w14:paraId="2F3504A2">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裁量因子</w:t>
            </w:r>
          </w:p>
        </w:tc>
        <w:tc>
          <w:tcPr>
            <w:tcW w:w="1134" w:type="dxa"/>
            <w:shd w:val="clear" w:color="auto" w:fill="F2F2F2"/>
            <w:noWrap w:val="0"/>
            <w:vAlign w:val="center"/>
          </w:tcPr>
          <w:p w14:paraId="31126C98">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裁量等级</w:t>
            </w:r>
          </w:p>
        </w:tc>
      </w:tr>
      <w:tr w14:paraId="3F126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61" w:type="dxa"/>
            <w:vMerge w:val="restart"/>
            <w:noWrap w:val="0"/>
            <w:vAlign w:val="center"/>
          </w:tcPr>
          <w:p w14:paraId="6F333249">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违法事实</w:t>
            </w:r>
          </w:p>
        </w:tc>
        <w:tc>
          <w:tcPr>
            <w:tcW w:w="6662" w:type="dxa"/>
            <w:noWrap w:val="0"/>
            <w:vAlign w:val="center"/>
          </w:tcPr>
          <w:p w14:paraId="3A9667AD">
            <w:pPr>
              <w:spacing w:before="20" w:after="20" w:line="300" w:lineRule="auto"/>
              <w:jc w:val="both"/>
              <w:rPr>
                <w:rFonts w:hint="eastAsia" w:ascii="宋体" w:hAnsi="宋体" w:eastAsia="宋体"/>
                <w:b/>
                <w:bCs w:val="0"/>
                <w:sz w:val="21"/>
                <w:szCs w:val="21"/>
              </w:rPr>
            </w:pPr>
            <w:r>
              <w:rPr>
                <w:rFonts w:ascii="宋体" w:hAnsi="宋体" w:eastAsia="宋体"/>
                <w:b/>
                <w:bCs w:val="0"/>
                <w:sz w:val="21"/>
                <w:szCs w:val="21"/>
              </w:rPr>
              <w:t>贮存量较小，尚未造成地下水污染，责令限期改正后及时改正的</w:t>
            </w:r>
          </w:p>
        </w:tc>
        <w:tc>
          <w:tcPr>
            <w:tcW w:w="1134" w:type="dxa"/>
            <w:noWrap w:val="0"/>
            <w:vAlign w:val="center"/>
          </w:tcPr>
          <w:p w14:paraId="39B40C14">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1</w:t>
            </w:r>
          </w:p>
        </w:tc>
      </w:tr>
      <w:tr w14:paraId="40164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61" w:type="dxa"/>
            <w:vMerge w:val="continue"/>
            <w:noWrap w:val="0"/>
            <w:vAlign w:val="center"/>
          </w:tcPr>
          <w:p w14:paraId="2F491271">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p>
        </w:tc>
        <w:tc>
          <w:tcPr>
            <w:tcW w:w="6662" w:type="dxa"/>
            <w:noWrap w:val="0"/>
            <w:vAlign w:val="center"/>
          </w:tcPr>
          <w:p w14:paraId="43A6B9D5">
            <w:pPr>
              <w:spacing w:before="20" w:after="20" w:line="300" w:lineRule="auto"/>
              <w:jc w:val="both"/>
              <w:rPr>
                <w:rFonts w:hint="eastAsia" w:ascii="宋体" w:hAnsi="宋体" w:eastAsia="宋体"/>
                <w:b/>
                <w:bCs w:val="0"/>
                <w:sz w:val="21"/>
                <w:szCs w:val="21"/>
              </w:rPr>
            </w:pPr>
            <w:r>
              <w:rPr>
                <w:rFonts w:ascii="宋体" w:hAnsi="宋体" w:eastAsia="宋体"/>
                <w:b/>
                <w:bCs w:val="0"/>
                <w:sz w:val="21"/>
                <w:szCs w:val="21"/>
              </w:rPr>
              <w:t>贮存量较大，或者已造成地下水轻度污染</w:t>
            </w:r>
          </w:p>
        </w:tc>
        <w:tc>
          <w:tcPr>
            <w:tcW w:w="1134" w:type="dxa"/>
            <w:noWrap w:val="0"/>
            <w:vAlign w:val="center"/>
          </w:tcPr>
          <w:p w14:paraId="5C618AD2">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3</w:t>
            </w:r>
          </w:p>
        </w:tc>
      </w:tr>
      <w:tr w14:paraId="7DE2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61" w:type="dxa"/>
            <w:vMerge w:val="continue"/>
            <w:noWrap w:val="0"/>
            <w:vAlign w:val="center"/>
          </w:tcPr>
          <w:p w14:paraId="4D1F9E61">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p>
        </w:tc>
        <w:tc>
          <w:tcPr>
            <w:tcW w:w="6662" w:type="dxa"/>
            <w:noWrap w:val="0"/>
            <w:vAlign w:val="center"/>
          </w:tcPr>
          <w:p w14:paraId="1211376A">
            <w:pPr>
              <w:spacing w:before="20" w:after="20" w:line="300" w:lineRule="auto"/>
              <w:jc w:val="both"/>
              <w:rPr>
                <w:rFonts w:hint="eastAsia" w:ascii="宋体" w:hAnsi="宋体" w:eastAsia="宋体"/>
                <w:b/>
                <w:bCs w:val="0"/>
                <w:sz w:val="21"/>
                <w:szCs w:val="21"/>
              </w:rPr>
            </w:pPr>
            <w:r>
              <w:rPr>
                <w:rFonts w:ascii="宋体" w:hAnsi="宋体" w:eastAsia="宋体"/>
                <w:b/>
                <w:bCs w:val="0"/>
                <w:sz w:val="21"/>
                <w:szCs w:val="21"/>
              </w:rPr>
              <w:t>贮存危险废物数量大，或者造成地下水严重污染，或者拒不改正</w:t>
            </w:r>
          </w:p>
        </w:tc>
        <w:tc>
          <w:tcPr>
            <w:tcW w:w="1134" w:type="dxa"/>
            <w:noWrap w:val="0"/>
            <w:vAlign w:val="center"/>
          </w:tcPr>
          <w:p w14:paraId="49C7D9F4">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5</w:t>
            </w:r>
          </w:p>
        </w:tc>
      </w:tr>
      <w:tr w14:paraId="6D0DC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61" w:type="dxa"/>
            <w:shd w:val="clear" w:color="auto" w:fill="F2F2F2"/>
            <w:noWrap w:val="0"/>
            <w:vAlign w:val="center"/>
          </w:tcPr>
          <w:p w14:paraId="28BA8CCB">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备注</w:t>
            </w:r>
          </w:p>
        </w:tc>
        <w:tc>
          <w:tcPr>
            <w:tcW w:w="7796" w:type="dxa"/>
            <w:gridSpan w:val="2"/>
            <w:noWrap w:val="0"/>
            <w:vAlign w:val="center"/>
          </w:tcPr>
          <w:p w14:paraId="1B331697">
            <w:pPr>
              <w:spacing w:before="20" w:after="20" w:line="300" w:lineRule="auto"/>
              <w:rPr>
                <w:rFonts w:hint="eastAsia" w:ascii="宋体" w:hAnsi="宋体" w:eastAsia="宋体"/>
                <w:b/>
                <w:bCs w:val="0"/>
                <w:sz w:val="21"/>
                <w:szCs w:val="21"/>
              </w:rPr>
            </w:pPr>
            <w:r>
              <w:rPr>
                <w:rFonts w:ascii="宋体" w:hAnsi="宋体" w:eastAsia="宋体"/>
                <w:b/>
                <w:bCs w:val="0"/>
                <w:sz w:val="21"/>
                <w:szCs w:val="21"/>
              </w:rPr>
              <w:t>本项适用于利用岩层孔隙、裂隙、溶洞、废弃矿坑等贮存石化原料及产品、农药、危险废物或者其他有毒有害物质的行为。贮存城镇污水处理设施产生的污泥和处理后污泥的，依照该条第二款由城镇排水主管部门处罚。</w:t>
            </w:r>
          </w:p>
        </w:tc>
      </w:tr>
    </w:tbl>
    <w:p w14:paraId="7F4BB4C0">
      <w:pPr>
        <w:spacing w:after="120" w:afterLines="50" w:line="480" w:lineRule="exact"/>
        <w:rPr>
          <w:rFonts w:ascii="Times New Roman" w:hAnsi="Times New Roman" w:eastAsia="黑体"/>
          <w:sz w:val="28"/>
          <w:szCs w:val="28"/>
        </w:rPr>
      </w:pPr>
      <w:r>
        <w:rPr>
          <w:rFonts w:ascii="Times New Roman" w:hAnsi="Times New Roman" w:eastAsia="黑体"/>
          <w:sz w:val="28"/>
          <w:szCs w:val="28"/>
        </w:rPr>
        <w:t>（六）违反固体废物管理制度的行为</w:t>
      </w:r>
    </w:p>
    <w:p w14:paraId="5E7DA80A">
      <w:pPr>
        <w:spacing w:before="40" w:after="40" w:line="400" w:lineRule="auto"/>
        <w:jc w:val="both"/>
        <w:rPr>
          <w:rFonts w:ascii="Times New Roman" w:hAnsi="Times New Roman" w:eastAsia="黑体"/>
          <w:b/>
          <w:sz w:val="24"/>
        </w:rPr>
      </w:pPr>
      <w:r>
        <w:rPr>
          <w:rFonts w:hint="eastAsia" w:ascii="Times New Roman" w:hAnsi="Times New Roman" w:eastAsia="黑体"/>
          <w:b/>
          <w:sz w:val="24"/>
        </w:rPr>
        <w:t>1．</w:t>
      </w:r>
      <w:r>
        <w:rPr>
          <w:rFonts w:ascii="Times New Roman" w:hAnsi="Times New Roman" w:eastAsia="黑体"/>
          <w:b/>
          <w:sz w:val="24"/>
        </w:rPr>
        <w:t>尾矿贮存设施运营、管理单位未建立环境污染隐患排查治理制度、未定期开展环境污染隐患排查的行为</w:t>
      </w:r>
    </w:p>
    <w:tbl>
      <w:tblPr>
        <w:tblStyle w:val="8"/>
        <w:tblW w:w="9506"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200"/>
        <w:gridCol w:w="7106"/>
        <w:gridCol w:w="1200"/>
      </w:tblGrid>
      <w:tr w14:paraId="74C9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00" w:type="dxa"/>
            <w:noWrap w:val="0"/>
            <w:vAlign w:val="center"/>
          </w:tcPr>
          <w:p w14:paraId="24B12899">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违反条款</w:t>
            </w:r>
          </w:p>
        </w:tc>
        <w:tc>
          <w:tcPr>
            <w:tcW w:w="8306" w:type="dxa"/>
            <w:gridSpan w:val="2"/>
            <w:noWrap w:val="0"/>
            <w:vAlign w:val="top"/>
          </w:tcPr>
          <w:p w14:paraId="1CF0EE06">
            <w:pPr>
              <w:spacing w:before="20" w:after="20" w:line="300" w:lineRule="auto"/>
              <w:rPr>
                <w:rFonts w:hint="eastAsia"/>
                <w:b/>
                <w:bCs w:val="0"/>
                <w:sz w:val="21"/>
                <w:szCs w:val="21"/>
              </w:rPr>
            </w:pPr>
            <w:r>
              <w:rPr>
                <w:rFonts w:ascii="宋体" w:hAnsi="宋体" w:eastAsia="宋体"/>
                <w:b/>
                <w:bCs w:val="0"/>
                <w:sz w:val="21"/>
                <w:szCs w:val="21"/>
              </w:rPr>
              <w:t>1.《中华人民共和国生态环境法典》第四百九十七条第二款</w:t>
            </w:r>
            <w:r>
              <w:rPr>
                <w:rFonts w:hint="eastAsia"/>
                <w:b/>
                <w:bCs w:val="0"/>
                <w:sz w:val="21"/>
                <w:szCs w:val="21"/>
              </w:rPr>
              <w:t xml:space="preserve"> </w:t>
            </w:r>
            <w:r>
              <w:rPr>
                <w:rFonts w:ascii="宋体" w:hAnsi="宋体" w:eastAsia="宋体"/>
                <w:b/>
                <w:bCs w:val="0"/>
                <w:sz w:val="21"/>
                <w:szCs w:val="21"/>
              </w:rPr>
              <w:t>尾矿贮存设施运营、管理单位应当建立环境污染隐患排查治理制度，定期开展环境污染隐患排查，防止造成环境污染。</w:t>
            </w:r>
          </w:p>
          <w:p w14:paraId="7A133108">
            <w:pPr>
              <w:spacing w:before="20" w:after="20" w:line="300" w:lineRule="auto"/>
              <w:rPr>
                <w:rFonts w:hint="eastAsia"/>
                <w:b/>
                <w:bCs w:val="0"/>
                <w:sz w:val="21"/>
                <w:szCs w:val="21"/>
              </w:rPr>
            </w:pPr>
            <w:r>
              <w:rPr>
                <w:rFonts w:ascii="宋体" w:hAnsi="宋体" w:eastAsia="宋体"/>
                <w:b/>
                <w:bCs w:val="0"/>
                <w:sz w:val="21"/>
                <w:szCs w:val="21"/>
              </w:rPr>
              <w:t>2.《尾矿污染环境防治管理办法》第二十条</w:t>
            </w:r>
            <w:r>
              <w:rPr>
                <w:rFonts w:hint="eastAsia"/>
                <w:b/>
                <w:bCs w:val="0"/>
                <w:sz w:val="21"/>
                <w:szCs w:val="21"/>
              </w:rPr>
              <w:t xml:space="preserve"> </w:t>
            </w:r>
            <w:r>
              <w:rPr>
                <w:rFonts w:ascii="宋体" w:hAnsi="宋体" w:eastAsia="宋体"/>
                <w:b/>
                <w:bCs w:val="0"/>
                <w:sz w:val="21"/>
                <w:szCs w:val="21"/>
              </w:rPr>
              <w:t>尾矿库运营、管理单位应当建立健全尾矿库污染隐患排查治理制度，组织开展尾矿库污染隐患排查治理；发现污染隐患的，应当制定整改方案，及时采取措施消除隐患。</w:t>
            </w:r>
          </w:p>
          <w:p w14:paraId="21589421">
            <w:pPr>
              <w:spacing w:before="20" w:after="20" w:line="300" w:lineRule="auto"/>
              <w:rPr>
                <w:rFonts w:hint="eastAsia"/>
                <w:b/>
                <w:bCs w:val="0"/>
                <w:sz w:val="21"/>
                <w:szCs w:val="21"/>
              </w:rPr>
            </w:pPr>
            <w:r>
              <w:rPr>
                <w:rFonts w:ascii="宋体" w:hAnsi="宋体" w:eastAsia="宋体"/>
                <w:b/>
                <w:bCs w:val="0"/>
                <w:sz w:val="21"/>
                <w:szCs w:val="21"/>
              </w:rPr>
              <w:t>尾矿库运营、管理单位应当于每年汛期前至少开展一次全面的污染隐患排查。</w:t>
            </w:r>
          </w:p>
        </w:tc>
      </w:tr>
      <w:tr w14:paraId="04B9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noWrap w:val="0"/>
            <w:vAlign w:val="center"/>
          </w:tcPr>
          <w:p w14:paraId="09D63AF2">
            <w:pPr>
              <w:overflowPunct w:val="0"/>
              <w:autoSpaceDE w:val="0"/>
              <w:autoSpaceDN w:val="0"/>
              <w:adjustRightInd w:val="0"/>
              <w:snapToGrid w:val="0"/>
              <w:spacing w:before="20" w:after="20" w:line="300" w:lineRule="auto"/>
              <w:jc w:val="center"/>
              <w:rPr>
                <w:rFonts w:hint="eastAsia"/>
                <w:b/>
                <w:bCs w:val="0"/>
                <w:sz w:val="21"/>
                <w:szCs w:val="21"/>
              </w:rPr>
            </w:pPr>
            <w:r>
              <w:rPr>
                <w:rFonts w:ascii="宋体" w:hAnsi="宋体" w:eastAsia="宋体"/>
                <w:b/>
                <w:bCs w:val="0"/>
                <w:sz w:val="21"/>
                <w:szCs w:val="21"/>
              </w:rPr>
              <w:t>处罚依据</w:t>
            </w:r>
          </w:p>
        </w:tc>
        <w:tc>
          <w:tcPr>
            <w:tcW w:w="8306" w:type="dxa"/>
            <w:gridSpan w:val="2"/>
            <w:noWrap w:val="0"/>
            <w:vAlign w:val="top"/>
          </w:tcPr>
          <w:p w14:paraId="43F88FE4">
            <w:pPr>
              <w:spacing w:before="20" w:after="20" w:line="300" w:lineRule="auto"/>
              <w:rPr>
                <w:rFonts w:hint="eastAsia"/>
                <w:b/>
                <w:bCs w:val="0"/>
                <w:sz w:val="21"/>
                <w:szCs w:val="21"/>
              </w:rPr>
            </w:pPr>
            <w:r>
              <w:rPr>
                <w:rFonts w:ascii="宋体" w:hAnsi="宋体" w:eastAsia="宋体"/>
                <w:b/>
                <w:bCs w:val="0"/>
                <w:sz w:val="21"/>
                <w:szCs w:val="21"/>
              </w:rPr>
              <w:t>《尾矿污染环境防治管理办法》第三十三条</w:t>
            </w:r>
            <w:r>
              <w:rPr>
                <w:rFonts w:hint="eastAsia"/>
                <w:b/>
                <w:bCs w:val="0"/>
                <w:sz w:val="21"/>
                <w:szCs w:val="21"/>
              </w:rPr>
              <w:t xml:space="preserve"> </w:t>
            </w:r>
            <w:r>
              <w:rPr>
                <w:rFonts w:ascii="宋体" w:hAnsi="宋体" w:eastAsia="宋体"/>
                <w:b/>
                <w:bCs w:val="0"/>
                <w:sz w:val="21"/>
                <w:szCs w:val="21"/>
              </w:rPr>
              <w:t>尾矿库运营、管理单位违反本办法规定，未按要求组织开展污染隐患排查治理的，由设区的市级以上生态环境主管部门责令改正，给予警告；拒不改正的，处十万元以下的罚款。</w:t>
            </w:r>
          </w:p>
        </w:tc>
      </w:tr>
      <w:tr w14:paraId="7FD1A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noWrap w:val="0"/>
            <w:vAlign w:val="center"/>
          </w:tcPr>
          <w:p w14:paraId="7398000F">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裁量因素</w:t>
            </w:r>
          </w:p>
        </w:tc>
        <w:tc>
          <w:tcPr>
            <w:tcW w:w="7106" w:type="dxa"/>
            <w:noWrap w:val="0"/>
            <w:vAlign w:val="top"/>
          </w:tcPr>
          <w:p w14:paraId="3A6AB7C0">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裁量因子</w:t>
            </w:r>
          </w:p>
        </w:tc>
        <w:tc>
          <w:tcPr>
            <w:tcW w:w="1200" w:type="dxa"/>
            <w:noWrap w:val="0"/>
            <w:vAlign w:val="top"/>
          </w:tcPr>
          <w:p w14:paraId="6BABA741">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裁量等级</w:t>
            </w:r>
          </w:p>
        </w:tc>
      </w:tr>
      <w:tr w14:paraId="3C28F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restart"/>
            <w:noWrap w:val="0"/>
            <w:vAlign w:val="center"/>
          </w:tcPr>
          <w:p w14:paraId="247A3BD2">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尾矿库级别</w:t>
            </w:r>
          </w:p>
        </w:tc>
        <w:tc>
          <w:tcPr>
            <w:tcW w:w="7106" w:type="dxa"/>
            <w:noWrap w:val="0"/>
            <w:vAlign w:val="top"/>
          </w:tcPr>
          <w:p w14:paraId="2B31A365">
            <w:pPr>
              <w:spacing w:before="20" w:after="20" w:line="300" w:lineRule="auto"/>
              <w:rPr>
                <w:rFonts w:hint="eastAsia"/>
                <w:b/>
                <w:bCs w:val="0"/>
                <w:sz w:val="21"/>
                <w:szCs w:val="21"/>
              </w:rPr>
            </w:pPr>
            <w:r>
              <w:rPr>
                <w:rFonts w:ascii="宋体" w:hAnsi="宋体" w:eastAsia="宋体"/>
                <w:b/>
                <w:bCs w:val="0"/>
                <w:sz w:val="21"/>
                <w:szCs w:val="21"/>
              </w:rPr>
              <w:t>三级环境监管尾矿库</w:t>
            </w:r>
          </w:p>
        </w:tc>
        <w:tc>
          <w:tcPr>
            <w:tcW w:w="1200" w:type="dxa"/>
            <w:noWrap w:val="0"/>
            <w:vAlign w:val="top"/>
          </w:tcPr>
          <w:p w14:paraId="1E46FEF6">
            <w:pPr>
              <w:spacing w:before="20" w:after="20" w:line="300" w:lineRule="auto"/>
              <w:jc w:val="center"/>
              <w:rPr>
                <w:rFonts w:hint="eastAsia"/>
                <w:b/>
                <w:bCs w:val="0"/>
                <w:sz w:val="21"/>
                <w:szCs w:val="21"/>
              </w:rPr>
            </w:pPr>
            <w:r>
              <w:rPr>
                <w:rFonts w:ascii="宋体" w:hAnsi="宋体" w:eastAsia="宋体"/>
                <w:b/>
                <w:bCs w:val="0"/>
                <w:sz w:val="21"/>
                <w:szCs w:val="21"/>
              </w:rPr>
              <w:t>1</w:t>
            </w:r>
          </w:p>
        </w:tc>
      </w:tr>
      <w:tr w14:paraId="5B361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22483A91">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p>
        </w:tc>
        <w:tc>
          <w:tcPr>
            <w:tcW w:w="7106" w:type="dxa"/>
            <w:noWrap w:val="0"/>
            <w:vAlign w:val="top"/>
          </w:tcPr>
          <w:p w14:paraId="5A7D75D8">
            <w:pPr>
              <w:spacing w:before="20" w:after="20" w:line="300" w:lineRule="auto"/>
              <w:rPr>
                <w:rFonts w:hint="eastAsia"/>
                <w:b/>
                <w:bCs w:val="0"/>
                <w:sz w:val="21"/>
                <w:szCs w:val="21"/>
              </w:rPr>
            </w:pPr>
            <w:r>
              <w:rPr>
                <w:rFonts w:ascii="宋体" w:hAnsi="宋体" w:eastAsia="宋体"/>
                <w:b/>
                <w:bCs w:val="0"/>
                <w:sz w:val="21"/>
                <w:szCs w:val="21"/>
              </w:rPr>
              <w:t>二级环境监管尾矿库</w:t>
            </w:r>
          </w:p>
        </w:tc>
        <w:tc>
          <w:tcPr>
            <w:tcW w:w="1200" w:type="dxa"/>
            <w:noWrap w:val="0"/>
            <w:vAlign w:val="top"/>
          </w:tcPr>
          <w:p w14:paraId="28ED5431">
            <w:pPr>
              <w:spacing w:before="20" w:after="20" w:line="300" w:lineRule="auto"/>
              <w:jc w:val="center"/>
              <w:rPr>
                <w:rFonts w:hint="eastAsia"/>
                <w:b/>
                <w:bCs w:val="0"/>
                <w:sz w:val="21"/>
                <w:szCs w:val="21"/>
              </w:rPr>
            </w:pPr>
            <w:r>
              <w:rPr>
                <w:rFonts w:ascii="宋体" w:hAnsi="宋体" w:eastAsia="宋体"/>
                <w:b/>
                <w:bCs w:val="0"/>
                <w:sz w:val="21"/>
                <w:szCs w:val="21"/>
              </w:rPr>
              <w:t>3</w:t>
            </w:r>
          </w:p>
        </w:tc>
      </w:tr>
      <w:tr w14:paraId="7F340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61529B08">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p>
        </w:tc>
        <w:tc>
          <w:tcPr>
            <w:tcW w:w="7106" w:type="dxa"/>
            <w:noWrap w:val="0"/>
            <w:vAlign w:val="top"/>
          </w:tcPr>
          <w:p w14:paraId="0F76F929">
            <w:pPr>
              <w:spacing w:before="20" w:after="20" w:line="300" w:lineRule="auto"/>
              <w:rPr>
                <w:rFonts w:hint="eastAsia"/>
                <w:b/>
                <w:bCs w:val="0"/>
                <w:sz w:val="21"/>
                <w:szCs w:val="21"/>
              </w:rPr>
            </w:pPr>
            <w:r>
              <w:rPr>
                <w:rFonts w:ascii="宋体" w:hAnsi="宋体" w:eastAsia="宋体"/>
                <w:b/>
                <w:bCs w:val="0"/>
                <w:sz w:val="21"/>
                <w:szCs w:val="21"/>
              </w:rPr>
              <w:t>一级环境监管尾矿库</w:t>
            </w:r>
          </w:p>
        </w:tc>
        <w:tc>
          <w:tcPr>
            <w:tcW w:w="1200" w:type="dxa"/>
            <w:noWrap w:val="0"/>
            <w:vAlign w:val="top"/>
          </w:tcPr>
          <w:p w14:paraId="6C223283">
            <w:pPr>
              <w:spacing w:before="20" w:after="20" w:line="300" w:lineRule="auto"/>
              <w:jc w:val="center"/>
              <w:rPr>
                <w:rFonts w:hint="eastAsia"/>
                <w:b/>
                <w:bCs w:val="0"/>
                <w:sz w:val="21"/>
                <w:szCs w:val="21"/>
              </w:rPr>
            </w:pPr>
            <w:r>
              <w:rPr>
                <w:rFonts w:ascii="宋体" w:hAnsi="宋体" w:eastAsia="宋体"/>
                <w:b/>
                <w:bCs w:val="0"/>
                <w:sz w:val="21"/>
                <w:szCs w:val="21"/>
              </w:rPr>
              <w:t>5</w:t>
            </w:r>
          </w:p>
        </w:tc>
      </w:tr>
      <w:tr w14:paraId="6EEBD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restart"/>
            <w:noWrap w:val="0"/>
            <w:vAlign w:val="center"/>
          </w:tcPr>
          <w:p w14:paraId="2D396976">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拒不改正持续时间</w:t>
            </w:r>
          </w:p>
        </w:tc>
        <w:tc>
          <w:tcPr>
            <w:tcW w:w="7106" w:type="dxa"/>
            <w:noWrap w:val="0"/>
            <w:vAlign w:val="top"/>
          </w:tcPr>
          <w:p w14:paraId="7761BDDA">
            <w:pPr>
              <w:spacing w:before="20" w:after="20" w:line="300" w:lineRule="auto"/>
              <w:rPr>
                <w:rFonts w:hint="eastAsia"/>
                <w:b/>
                <w:bCs w:val="0"/>
                <w:sz w:val="21"/>
                <w:szCs w:val="21"/>
              </w:rPr>
            </w:pPr>
            <w:r>
              <w:rPr>
                <w:rFonts w:ascii="宋体" w:hAnsi="宋体" w:eastAsia="宋体"/>
                <w:b/>
                <w:bCs w:val="0"/>
                <w:sz w:val="21"/>
                <w:szCs w:val="21"/>
              </w:rPr>
              <w:t>超过责令改正期限30日以内</w:t>
            </w:r>
          </w:p>
        </w:tc>
        <w:tc>
          <w:tcPr>
            <w:tcW w:w="1200" w:type="dxa"/>
            <w:noWrap w:val="0"/>
            <w:vAlign w:val="top"/>
          </w:tcPr>
          <w:p w14:paraId="09A6A7AF">
            <w:pPr>
              <w:spacing w:before="20" w:after="20" w:line="300" w:lineRule="auto"/>
              <w:jc w:val="center"/>
              <w:rPr>
                <w:rFonts w:hint="eastAsia"/>
                <w:b/>
                <w:bCs w:val="0"/>
                <w:sz w:val="21"/>
                <w:szCs w:val="21"/>
              </w:rPr>
            </w:pPr>
            <w:r>
              <w:rPr>
                <w:rFonts w:ascii="宋体" w:hAnsi="宋体" w:eastAsia="宋体"/>
                <w:b/>
                <w:bCs w:val="0"/>
                <w:sz w:val="21"/>
                <w:szCs w:val="21"/>
              </w:rPr>
              <w:t>1</w:t>
            </w:r>
          </w:p>
        </w:tc>
      </w:tr>
      <w:tr w14:paraId="5275B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top"/>
          </w:tcPr>
          <w:p w14:paraId="4E54AEF0">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p>
        </w:tc>
        <w:tc>
          <w:tcPr>
            <w:tcW w:w="7106" w:type="dxa"/>
            <w:noWrap w:val="0"/>
            <w:vAlign w:val="top"/>
          </w:tcPr>
          <w:p w14:paraId="157A654A">
            <w:pPr>
              <w:spacing w:before="20" w:after="20" w:line="300" w:lineRule="auto"/>
              <w:rPr>
                <w:rFonts w:hint="eastAsia"/>
                <w:b/>
                <w:bCs w:val="0"/>
                <w:sz w:val="21"/>
                <w:szCs w:val="21"/>
              </w:rPr>
            </w:pPr>
            <w:r>
              <w:rPr>
                <w:rFonts w:ascii="宋体" w:hAnsi="宋体" w:eastAsia="宋体"/>
                <w:b/>
                <w:bCs w:val="0"/>
                <w:sz w:val="21"/>
                <w:szCs w:val="21"/>
              </w:rPr>
              <w:t>超过责令改正期限30日以上90日以内</w:t>
            </w:r>
          </w:p>
        </w:tc>
        <w:tc>
          <w:tcPr>
            <w:tcW w:w="1200" w:type="dxa"/>
            <w:noWrap w:val="0"/>
            <w:vAlign w:val="top"/>
          </w:tcPr>
          <w:p w14:paraId="761D7C0A">
            <w:pPr>
              <w:spacing w:before="20" w:after="20" w:line="300" w:lineRule="auto"/>
              <w:jc w:val="center"/>
              <w:rPr>
                <w:rFonts w:hint="eastAsia"/>
                <w:b/>
                <w:bCs w:val="0"/>
                <w:sz w:val="21"/>
                <w:szCs w:val="21"/>
              </w:rPr>
            </w:pPr>
            <w:r>
              <w:rPr>
                <w:rFonts w:ascii="宋体" w:hAnsi="宋体" w:eastAsia="宋体"/>
                <w:b/>
                <w:bCs w:val="0"/>
                <w:sz w:val="21"/>
                <w:szCs w:val="21"/>
              </w:rPr>
              <w:t>3</w:t>
            </w:r>
          </w:p>
        </w:tc>
      </w:tr>
      <w:tr w14:paraId="17094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top"/>
          </w:tcPr>
          <w:p w14:paraId="3298E961">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p>
        </w:tc>
        <w:tc>
          <w:tcPr>
            <w:tcW w:w="7106" w:type="dxa"/>
            <w:noWrap w:val="0"/>
            <w:vAlign w:val="top"/>
          </w:tcPr>
          <w:p w14:paraId="29AAC166">
            <w:pPr>
              <w:spacing w:before="20" w:after="20" w:line="300" w:lineRule="auto"/>
              <w:rPr>
                <w:rFonts w:hint="eastAsia"/>
                <w:b/>
                <w:bCs w:val="0"/>
                <w:sz w:val="21"/>
                <w:szCs w:val="21"/>
              </w:rPr>
            </w:pPr>
            <w:r>
              <w:rPr>
                <w:rFonts w:ascii="宋体" w:hAnsi="宋体" w:eastAsia="宋体"/>
                <w:b/>
                <w:bCs w:val="0"/>
                <w:sz w:val="21"/>
                <w:szCs w:val="21"/>
              </w:rPr>
              <w:t>超过责令改正期限90日以上</w:t>
            </w:r>
          </w:p>
        </w:tc>
        <w:tc>
          <w:tcPr>
            <w:tcW w:w="1200" w:type="dxa"/>
            <w:noWrap w:val="0"/>
            <w:vAlign w:val="top"/>
          </w:tcPr>
          <w:p w14:paraId="510FF5A8">
            <w:pPr>
              <w:spacing w:before="20" w:after="20" w:line="300" w:lineRule="auto"/>
              <w:jc w:val="center"/>
              <w:rPr>
                <w:rFonts w:hint="eastAsia"/>
                <w:b/>
                <w:bCs w:val="0"/>
                <w:sz w:val="21"/>
                <w:szCs w:val="21"/>
              </w:rPr>
            </w:pPr>
            <w:r>
              <w:rPr>
                <w:rFonts w:ascii="宋体" w:hAnsi="宋体" w:eastAsia="宋体"/>
                <w:b/>
                <w:bCs w:val="0"/>
                <w:sz w:val="21"/>
                <w:szCs w:val="21"/>
              </w:rPr>
              <w:t>5</w:t>
            </w:r>
          </w:p>
        </w:tc>
      </w:tr>
      <w:tr w14:paraId="7063B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noWrap w:val="0"/>
            <w:vAlign w:val="top"/>
          </w:tcPr>
          <w:p w14:paraId="76F5D5B1">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备注</w:t>
            </w:r>
          </w:p>
        </w:tc>
        <w:tc>
          <w:tcPr>
            <w:tcW w:w="8306" w:type="dxa"/>
            <w:gridSpan w:val="2"/>
            <w:noWrap w:val="0"/>
            <w:vAlign w:val="top"/>
          </w:tcPr>
          <w:p w14:paraId="14646050">
            <w:pPr>
              <w:spacing w:before="20" w:after="20" w:line="300" w:lineRule="auto"/>
              <w:rPr>
                <w:rFonts w:hint="eastAsia"/>
                <w:b/>
                <w:bCs w:val="0"/>
                <w:sz w:val="21"/>
                <w:szCs w:val="21"/>
              </w:rPr>
            </w:pPr>
            <w:r>
              <w:rPr>
                <w:rFonts w:ascii="宋体" w:hAnsi="宋体" w:eastAsia="宋体"/>
                <w:b/>
                <w:bCs w:val="0"/>
                <w:sz w:val="21"/>
                <w:szCs w:val="21"/>
              </w:rPr>
              <w:t>尾矿库环境监管等级按生态环境部《尾矿库环境监管分类分级技术规程（试行）》执行。</w:t>
            </w:r>
          </w:p>
        </w:tc>
      </w:tr>
    </w:tbl>
    <w:p w14:paraId="3F1963E1">
      <w:pPr>
        <w:spacing w:before="40" w:after="40" w:line="400" w:lineRule="auto"/>
        <w:jc w:val="both"/>
        <w:rPr>
          <w:rFonts w:ascii="Times New Roman" w:hAnsi="Times New Roman" w:eastAsia="黑体"/>
          <w:b/>
          <w:sz w:val="24"/>
        </w:rPr>
      </w:pPr>
      <w:r>
        <w:rPr>
          <w:rFonts w:hint="eastAsia" w:ascii="Times New Roman" w:hAnsi="Times New Roman" w:eastAsia="黑体"/>
          <w:b/>
          <w:sz w:val="24"/>
        </w:rPr>
        <w:t>2.</w:t>
      </w:r>
      <w:r>
        <w:rPr>
          <w:rFonts w:ascii="Times New Roman" w:hAnsi="Times New Roman" w:eastAsia="黑体"/>
          <w:b/>
          <w:sz w:val="24"/>
        </w:rPr>
        <w:t>产生尾矿的单位或者尾矿库运营、管理单位未按时通过全国固体废物污染环境防治信息平台填报上一年度产生的相关信息的行为</w:t>
      </w:r>
    </w:p>
    <w:tbl>
      <w:tblPr>
        <w:tblStyle w:val="8"/>
        <w:tblW w:w="905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200"/>
        <w:gridCol w:w="6723"/>
        <w:gridCol w:w="1134"/>
      </w:tblGrid>
      <w:tr w14:paraId="22E97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shd w:val="clear" w:color="auto" w:fill="F2F2F2"/>
            <w:noWrap w:val="0"/>
            <w:vAlign w:val="center"/>
          </w:tcPr>
          <w:p w14:paraId="7049FC08">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违反条款</w:t>
            </w:r>
          </w:p>
        </w:tc>
        <w:tc>
          <w:tcPr>
            <w:tcW w:w="7857" w:type="dxa"/>
            <w:gridSpan w:val="2"/>
            <w:noWrap w:val="0"/>
            <w:vAlign w:val="center"/>
          </w:tcPr>
          <w:p w14:paraId="2923378E">
            <w:pPr>
              <w:spacing w:before="20" w:after="20" w:line="300" w:lineRule="auto"/>
              <w:rPr>
                <w:rFonts w:hint="eastAsia" w:ascii="宋体" w:hAnsi="宋体" w:eastAsia="宋体"/>
                <w:b/>
                <w:bCs w:val="0"/>
                <w:sz w:val="21"/>
                <w:szCs w:val="21"/>
              </w:rPr>
            </w:pPr>
            <w:r>
              <w:rPr>
                <w:rFonts w:ascii="宋体" w:hAnsi="宋体" w:eastAsia="宋体"/>
                <w:b/>
                <w:bCs w:val="0"/>
                <w:sz w:val="21"/>
                <w:szCs w:val="21"/>
              </w:rPr>
              <w:t>《尾矿污染环境防治管理办法》第七条第四款</w:t>
            </w:r>
            <w:r>
              <w:rPr>
                <w:rFonts w:hint="eastAsia" w:ascii="宋体" w:hAnsi="宋体" w:eastAsia="宋体"/>
                <w:b/>
                <w:bCs w:val="0"/>
                <w:sz w:val="21"/>
                <w:szCs w:val="21"/>
              </w:rPr>
              <w:t xml:space="preserve"> </w:t>
            </w:r>
            <w:r>
              <w:rPr>
                <w:rFonts w:ascii="宋体" w:hAnsi="宋体" w:eastAsia="宋体"/>
                <w:b/>
                <w:bCs w:val="0"/>
                <w:sz w:val="21"/>
                <w:szCs w:val="21"/>
              </w:rPr>
              <w:t>产生尾矿的单位和尾矿库运营、管理单位应当于每年1月31日之前通过全国固体废物污染环境防治信息平台填报上一年度产生的相关信息。</w:t>
            </w:r>
          </w:p>
        </w:tc>
      </w:tr>
      <w:tr w14:paraId="61AAB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shd w:val="clear" w:color="auto" w:fill="F2F2F2"/>
            <w:noWrap w:val="0"/>
            <w:vAlign w:val="center"/>
          </w:tcPr>
          <w:p w14:paraId="5EDADDE4">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处罚依据</w:t>
            </w:r>
          </w:p>
        </w:tc>
        <w:tc>
          <w:tcPr>
            <w:tcW w:w="7857" w:type="dxa"/>
            <w:gridSpan w:val="2"/>
            <w:noWrap w:val="0"/>
            <w:vAlign w:val="center"/>
          </w:tcPr>
          <w:p w14:paraId="694B8FBD">
            <w:pPr>
              <w:spacing w:before="20" w:after="20" w:line="300" w:lineRule="auto"/>
              <w:rPr>
                <w:rFonts w:hint="eastAsia" w:ascii="宋体" w:hAnsi="宋体" w:eastAsia="宋体"/>
                <w:b/>
                <w:bCs w:val="0"/>
                <w:sz w:val="21"/>
                <w:szCs w:val="21"/>
              </w:rPr>
            </w:pPr>
            <w:r>
              <w:rPr>
                <w:rFonts w:ascii="宋体" w:hAnsi="宋体" w:eastAsia="宋体"/>
                <w:b/>
                <w:bCs w:val="0"/>
                <w:sz w:val="21"/>
                <w:szCs w:val="21"/>
              </w:rPr>
              <w:t>《尾矿污染环境防治管理办法》第三十一条</w:t>
            </w:r>
            <w:r>
              <w:rPr>
                <w:rFonts w:hint="eastAsia" w:ascii="宋体" w:hAnsi="宋体" w:eastAsia="宋体"/>
                <w:b/>
                <w:bCs w:val="0"/>
                <w:sz w:val="21"/>
                <w:szCs w:val="21"/>
              </w:rPr>
              <w:t xml:space="preserve"> </w:t>
            </w:r>
            <w:r>
              <w:rPr>
                <w:rFonts w:ascii="宋体" w:hAnsi="宋体" w:eastAsia="宋体"/>
                <w:b/>
                <w:bCs w:val="0"/>
                <w:sz w:val="21"/>
                <w:szCs w:val="21"/>
              </w:rPr>
              <w:t>产生尾矿的单位或者尾矿库运营、管理单位违反本办法规定，未按时通过全国固体废物污染环境防治信息平台填报上一年度产生的相关信息的，由设区的市级以上地方生态环境主管部门责令改正，给予警告；拒不改正的，处三万元以下的罚款。</w:t>
            </w:r>
          </w:p>
        </w:tc>
      </w:tr>
      <w:tr w14:paraId="5FCE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shd w:val="clear" w:color="auto" w:fill="F2F2F2"/>
            <w:noWrap w:val="0"/>
            <w:vAlign w:val="center"/>
          </w:tcPr>
          <w:p w14:paraId="49CA164A">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裁量因素</w:t>
            </w:r>
          </w:p>
        </w:tc>
        <w:tc>
          <w:tcPr>
            <w:tcW w:w="6723" w:type="dxa"/>
            <w:shd w:val="clear" w:color="auto" w:fill="F2F2F2"/>
            <w:noWrap w:val="0"/>
            <w:vAlign w:val="center"/>
          </w:tcPr>
          <w:p w14:paraId="1451B83C">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裁量因子</w:t>
            </w:r>
          </w:p>
        </w:tc>
        <w:tc>
          <w:tcPr>
            <w:tcW w:w="1134" w:type="dxa"/>
            <w:shd w:val="clear" w:color="auto" w:fill="F2F2F2"/>
            <w:noWrap w:val="0"/>
            <w:vAlign w:val="center"/>
          </w:tcPr>
          <w:p w14:paraId="04D9A04C">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裁量等级</w:t>
            </w:r>
          </w:p>
        </w:tc>
      </w:tr>
      <w:tr w14:paraId="28E0B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restart"/>
            <w:noWrap w:val="0"/>
            <w:vAlign w:val="center"/>
          </w:tcPr>
          <w:p w14:paraId="0B4017C7">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违法事实</w:t>
            </w:r>
          </w:p>
        </w:tc>
        <w:tc>
          <w:tcPr>
            <w:tcW w:w="6723" w:type="dxa"/>
            <w:noWrap w:val="0"/>
            <w:vAlign w:val="center"/>
          </w:tcPr>
          <w:p w14:paraId="3C5DA64A">
            <w:pPr>
              <w:spacing w:before="20" w:after="20" w:line="300" w:lineRule="auto"/>
              <w:jc w:val="both"/>
              <w:rPr>
                <w:rFonts w:hint="eastAsia" w:ascii="宋体" w:hAnsi="宋体" w:eastAsia="宋体"/>
                <w:b/>
                <w:bCs w:val="0"/>
                <w:sz w:val="21"/>
                <w:szCs w:val="21"/>
              </w:rPr>
            </w:pPr>
            <w:r>
              <w:rPr>
                <w:rFonts w:hint="eastAsia" w:ascii="宋体" w:hAnsi="宋体" w:eastAsia="宋体"/>
                <w:b/>
                <w:bCs w:val="0"/>
                <w:sz w:val="21"/>
                <w:szCs w:val="21"/>
              </w:rPr>
              <w:t>仅一年</w:t>
            </w:r>
            <w:r>
              <w:rPr>
                <w:rFonts w:ascii="宋体" w:hAnsi="宋体" w:eastAsia="宋体"/>
                <w:b/>
                <w:bCs w:val="0"/>
                <w:sz w:val="21"/>
                <w:szCs w:val="21"/>
              </w:rPr>
              <w:t>未按时填报的</w:t>
            </w:r>
          </w:p>
        </w:tc>
        <w:tc>
          <w:tcPr>
            <w:tcW w:w="1134" w:type="dxa"/>
            <w:noWrap w:val="0"/>
            <w:vAlign w:val="center"/>
          </w:tcPr>
          <w:p w14:paraId="4D2DA2EF">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1</w:t>
            </w:r>
          </w:p>
        </w:tc>
      </w:tr>
      <w:tr w14:paraId="580A7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5CF6D5CE">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p>
        </w:tc>
        <w:tc>
          <w:tcPr>
            <w:tcW w:w="6723" w:type="dxa"/>
            <w:noWrap w:val="0"/>
            <w:vAlign w:val="center"/>
          </w:tcPr>
          <w:p w14:paraId="16484CBD">
            <w:pPr>
              <w:spacing w:before="20" w:after="20" w:line="300" w:lineRule="auto"/>
              <w:jc w:val="both"/>
              <w:rPr>
                <w:rFonts w:hint="eastAsia" w:ascii="宋体" w:hAnsi="宋体" w:eastAsia="宋体"/>
                <w:b/>
                <w:bCs w:val="0"/>
                <w:sz w:val="21"/>
                <w:szCs w:val="21"/>
              </w:rPr>
            </w:pPr>
            <w:r>
              <w:rPr>
                <w:rFonts w:ascii="宋体" w:hAnsi="宋体" w:eastAsia="宋体"/>
                <w:b/>
                <w:bCs w:val="0"/>
                <w:sz w:val="21"/>
                <w:szCs w:val="21"/>
              </w:rPr>
              <w:t>连续两年</w:t>
            </w:r>
            <w:r>
              <w:rPr>
                <w:rFonts w:hint="eastAsia" w:ascii="宋体" w:hAnsi="宋体" w:eastAsia="宋体"/>
                <w:b/>
                <w:bCs w:val="0"/>
                <w:sz w:val="21"/>
                <w:szCs w:val="21"/>
              </w:rPr>
              <w:t>以上（含两年）</w:t>
            </w:r>
            <w:r>
              <w:rPr>
                <w:rFonts w:ascii="宋体" w:hAnsi="宋体" w:eastAsia="宋体"/>
                <w:b/>
                <w:bCs w:val="0"/>
                <w:sz w:val="21"/>
                <w:szCs w:val="21"/>
              </w:rPr>
              <w:t>未按时填报的</w:t>
            </w:r>
          </w:p>
        </w:tc>
        <w:tc>
          <w:tcPr>
            <w:tcW w:w="1134" w:type="dxa"/>
            <w:noWrap w:val="0"/>
            <w:vAlign w:val="center"/>
          </w:tcPr>
          <w:p w14:paraId="44ED494E">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3</w:t>
            </w:r>
          </w:p>
        </w:tc>
      </w:tr>
      <w:tr w14:paraId="2FA7E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vMerge w:val="continue"/>
            <w:noWrap w:val="0"/>
            <w:vAlign w:val="center"/>
          </w:tcPr>
          <w:p w14:paraId="18AA076B">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p>
        </w:tc>
        <w:tc>
          <w:tcPr>
            <w:tcW w:w="6723" w:type="dxa"/>
            <w:noWrap w:val="0"/>
            <w:vAlign w:val="center"/>
          </w:tcPr>
          <w:p w14:paraId="56F15E13">
            <w:pPr>
              <w:spacing w:before="20" w:after="20" w:line="300" w:lineRule="auto"/>
              <w:jc w:val="both"/>
              <w:rPr>
                <w:rFonts w:hint="eastAsia" w:ascii="宋体" w:hAnsi="宋体" w:eastAsia="宋体"/>
                <w:b/>
                <w:bCs w:val="0"/>
                <w:sz w:val="21"/>
                <w:szCs w:val="21"/>
              </w:rPr>
            </w:pPr>
            <w:r>
              <w:rPr>
                <w:rFonts w:ascii="宋体" w:hAnsi="宋体" w:eastAsia="宋体"/>
                <w:b/>
                <w:bCs w:val="0"/>
                <w:sz w:val="21"/>
                <w:szCs w:val="21"/>
              </w:rPr>
              <w:t>连续</w:t>
            </w:r>
            <w:r>
              <w:rPr>
                <w:rFonts w:hint="eastAsia" w:ascii="宋体" w:hAnsi="宋体" w:eastAsia="宋体"/>
                <w:b/>
                <w:bCs w:val="0"/>
                <w:sz w:val="21"/>
                <w:szCs w:val="21"/>
              </w:rPr>
              <w:t>三</w:t>
            </w:r>
            <w:r>
              <w:rPr>
                <w:rFonts w:ascii="宋体" w:hAnsi="宋体" w:eastAsia="宋体"/>
                <w:b/>
                <w:bCs w:val="0"/>
                <w:sz w:val="21"/>
                <w:szCs w:val="21"/>
              </w:rPr>
              <w:t>年</w:t>
            </w:r>
            <w:r>
              <w:rPr>
                <w:rFonts w:hint="eastAsia" w:ascii="宋体" w:hAnsi="宋体" w:eastAsia="宋体"/>
                <w:b/>
                <w:bCs w:val="0"/>
                <w:sz w:val="21"/>
                <w:szCs w:val="21"/>
              </w:rPr>
              <w:t>以上（含三年）</w:t>
            </w:r>
            <w:r>
              <w:rPr>
                <w:rFonts w:ascii="宋体" w:hAnsi="宋体" w:eastAsia="宋体"/>
                <w:b/>
                <w:bCs w:val="0"/>
                <w:sz w:val="21"/>
                <w:szCs w:val="21"/>
              </w:rPr>
              <w:t>未按时填报</w:t>
            </w:r>
          </w:p>
        </w:tc>
        <w:tc>
          <w:tcPr>
            <w:tcW w:w="1134" w:type="dxa"/>
            <w:noWrap w:val="0"/>
            <w:vAlign w:val="center"/>
          </w:tcPr>
          <w:p w14:paraId="11202AE2">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5</w:t>
            </w:r>
          </w:p>
        </w:tc>
      </w:tr>
      <w:tr w14:paraId="400C7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200" w:type="dxa"/>
            <w:noWrap w:val="0"/>
            <w:vAlign w:val="center"/>
          </w:tcPr>
          <w:p w14:paraId="0A98CE97">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hint="eastAsia" w:ascii="宋体" w:hAnsi="宋体" w:eastAsia="宋体"/>
                <w:b/>
                <w:bCs w:val="0"/>
                <w:sz w:val="21"/>
                <w:szCs w:val="21"/>
              </w:rPr>
              <w:t>备注</w:t>
            </w:r>
          </w:p>
        </w:tc>
        <w:tc>
          <w:tcPr>
            <w:tcW w:w="7857" w:type="dxa"/>
            <w:gridSpan w:val="2"/>
            <w:noWrap w:val="0"/>
            <w:vAlign w:val="center"/>
          </w:tcPr>
          <w:p w14:paraId="443FEBFE">
            <w:pPr>
              <w:spacing w:before="20" w:after="20" w:line="300" w:lineRule="auto"/>
              <w:rPr>
                <w:rFonts w:hint="eastAsia" w:ascii="宋体" w:hAnsi="宋体" w:eastAsia="宋体"/>
                <w:b/>
                <w:bCs w:val="0"/>
                <w:sz w:val="21"/>
                <w:szCs w:val="21"/>
              </w:rPr>
            </w:pPr>
            <w:r>
              <w:rPr>
                <w:rFonts w:hint="eastAsia" w:ascii="宋体" w:hAnsi="宋体" w:eastAsia="宋体"/>
                <w:b/>
                <w:bCs w:val="0"/>
                <w:sz w:val="21"/>
                <w:szCs w:val="21"/>
              </w:rPr>
              <w:t>仅适用于违法行为发生后拒不改正情形。</w:t>
            </w:r>
          </w:p>
        </w:tc>
      </w:tr>
    </w:tbl>
    <w:p w14:paraId="4FFCE003">
      <w:pPr>
        <w:spacing w:after="120" w:afterLines="50" w:line="480" w:lineRule="exact"/>
        <w:rPr>
          <w:rFonts w:ascii="Times New Roman" w:hAnsi="Times New Roman" w:eastAsia="黑体"/>
          <w:sz w:val="28"/>
          <w:szCs w:val="28"/>
        </w:rPr>
      </w:pPr>
      <w:r>
        <w:rPr>
          <w:rFonts w:ascii="Times New Roman" w:hAnsi="Times New Roman" w:eastAsia="黑体"/>
          <w:sz w:val="28"/>
          <w:szCs w:val="28"/>
        </w:rPr>
        <w:t>（</w:t>
      </w:r>
      <w:r>
        <w:rPr>
          <w:rFonts w:hint="eastAsia" w:ascii="Times New Roman" w:hAnsi="Times New Roman" w:eastAsia="黑体"/>
          <w:sz w:val="28"/>
          <w:szCs w:val="28"/>
        </w:rPr>
        <w:t>七</w:t>
      </w:r>
      <w:r>
        <w:rPr>
          <w:rFonts w:ascii="Times New Roman" w:hAnsi="Times New Roman" w:eastAsia="黑体"/>
          <w:sz w:val="28"/>
          <w:szCs w:val="28"/>
        </w:rPr>
        <w:t>）违反化学物质污染风险管控、</w:t>
      </w:r>
      <w:bookmarkStart w:id="28" w:name="OLE_LINK1"/>
      <w:r>
        <w:rPr>
          <w:rFonts w:ascii="Times New Roman" w:hAnsi="Times New Roman" w:eastAsia="黑体"/>
          <w:sz w:val="28"/>
          <w:szCs w:val="28"/>
        </w:rPr>
        <w:t>电磁辐射</w:t>
      </w:r>
      <w:bookmarkEnd w:id="28"/>
      <w:r>
        <w:rPr>
          <w:rFonts w:ascii="Times New Roman" w:hAnsi="Times New Roman" w:eastAsia="黑体"/>
          <w:sz w:val="28"/>
          <w:szCs w:val="28"/>
        </w:rPr>
        <w:t>和光污染防治规定的行为</w:t>
      </w:r>
    </w:p>
    <w:p w14:paraId="01C76510">
      <w:pPr>
        <w:spacing w:before="40" w:after="40" w:line="400" w:lineRule="auto"/>
        <w:jc w:val="both"/>
        <w:rPr>
          <w:rFonts w:ascii="Times New Roman" w:hAnsi="Times New Roman" w:eastAsia="黑体"/>
          <w:b/>
          <w:sz w:val="24"/>
        </w:rPr>
      </w:pPr>
      <w:r>
        <w:rPr>
          <w:rFonts w:hint="eastAsia" w:ascii="Times New Roman" w:hAnsi="Times New Roman" w:eastAsia="黑体"/>
          <w:b/>
          <w:sz w:val="24"/>
        </w:rPr>
        <w:t>1．</w:t>
      </w:r>
      <w:r>
        <w:rPr>
          <w:rFonts w:ascii="Times New Roman" w:hAnsi="Times New Roman" w:eastAsia="黑体"/>
          <w:b/>
          <w:sz w:val="24"/>
        </w:rPr>
        <w:t>不按照新化学物质环境管理登记证的要求生产、进口新化学物质的行为</w:t>
      </w:r>
    </w:p>
    <w:tbl>
      <w:tblPr>
        <w:tblStyle w:val="8"/>
        <w:tblW w:w="49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77"/>
        <w:gridCol w:w="6864"/>
        <w:gridCol w:w="1033"/>
      </w:tblGrid>
      <w:tr w14:paraId="1A934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noWrap w:val="0"/>
            <w:tcMar>
              <w:top w:w="0" w:type="dxa"/>
              <w:left w:w="57" w:type="dxa"/>
              <w:bottom w:w="0" w:type="dxa"/>
              <w:right w:w="57" w:type="dxa"/>
            </w:tcMar>
            <w:vAlign w:val="center"/>
          </w:tcPr>
          <w:p w14:paraId="5EE47275">
            <w:pPr>
              <w:overflowPunct w:val="0"/>
              <w:autoSpaceDE w:val="0"/>
              <w:autoSpaceDN w:val="0"/>
              <w:adjustRightInd w:val="0"/>
              <w:snapToGrid w:val="0"/>
              <w:spacing w:before="20" w:after="20" w:line="300" w:lineRule="auto"/>
              <w:jc w:val="center"/>
              <w:rPr>
                <w:rFonts w:ascii="宋体" w:hAnsi="宋体" w:eastAsia="宋体"/>
                <w:b/>
                <w:sz w:val="21"/>
                <w:szCs w:val="21"/>
              </w:rPr>
            </w:pPr>
            <w:r>
              <w:rPr>
                <w:rFonts w:hint="eastAsia" w:ascii="宋体" w:hAnsi="宋体" w:eastAsia="宋体"/>
                <w:b/>
                <w:sz w:val="21"/>
                <w:szCs w:val="21"/>
              </w:rPr>
              <w:t>违反条款</w:t>
            </w:r>
          </w:p>
        </w:tc>
        <w:tc>
          <w:tcPr>
            <w:tcW w:w="4351" w:type="pct"/>
            <w:gridSpan w:val="2"/>
            <w:noWrap w:val="0"/>
            <w:tcMar>
              <w:top w:w="0" w:type="dxa"/>
              <w:left w:w="57" w:type="dxa"/>
              <w:bottom w:w="0" w:type="dxa"/>
              <w:right w:w="57" w:type="dxa"/>
            </w:tcMar>
            <w:vAlign w:val="center"/>
          </w:tcPr>
          <w:p w14:paraId="6FE4B8E9">
            <w:pPr>
              <w:pStyle w:val="20"/>
              <w:autoSpaceDE w:val="0"/>
              <w:autoSpaceDN w:val="0"/>
              <w:spacing w:before="20" w:after="20" w:line="300" w:lineRule="auto"/>
              <w:ind w:left="0" w:right="0" w:rightChars="0" w:firstLine="0"/>
              <w:textAlignment w:val="baseline"/>
              <w:rPr>
                <w:rFonts w:hint="eastAsia" w:cs="Times New Roman"/>
                <w:b w:val="0"/>
                <w:bCs w:val="0"/>
                <w:sz w:val="21"/>
                <w:szCs w:val="21"/>
              </w:rPr>
            </w:pPr>
            <w:r>
              <w:rPr>
                <w:rFonts w:hint="eastAsia" w:cs="Times New Roman"/>
                <w:b w:val="0"/>
                <w:bCs w:val="0"/>
                <w:sz w:val="21"/>
                <w:szCs w:val="21"/>
              </w:rPr>
              <w:t>１.《中华人民共和国生态环境法典》第六百五十一条</w:t>
            </w:r>
            <w:r>
              <w:rPr>
                <w:rFonts w:cs="Times New Roman"/>
                <w:b w:val="0"/>
                <w:bCs w:val="0"/>
                <w:sz w:val="21"/>
                <w:szCs w:val="21"/>
              </w:rPr>
              <w:t xml:space="preserve"> </w:t>
            </w:r>
            <w:r>
              <w:rPr>
                <w:rFonts w:hint="eastAsia" w:cs="Times New Roman"/>
                <w:b w:val="0"/>
                <w:bCs w:val="0"/>
                <w:sz w:val="21"/>
                <w:szCs w:val="21"/>
              </w:rPr>
              <w:t>禁止无新化学物质环境管理登记证或者不按照新化学物质环境管理登记证的要求生产、进口新化学物质。禁止使用无新化学物质环境管理登记证的企业事业单位生产、进口的新化学物质生产产品。</w:t>
            </w:r>
          </w:p>
          <w:p w14:paraId="1C5BC578">
            <w:pPr>
              <w:autoSpaceDE w:val="0"/>
              <w:autoSpaceDN w:val="0"/>
              <w:spacing w:before="20" w:after="20" w:line="300" w:lineRule="auto"/>
              <w:textAlignment w:val="baseline"/>
              <w:rPr>
                <w:rFonts w:ascii="宋体" w:hAnsi="宋体"/>
                <w:b w:val="0"/>
                <w:bCs w:val="0"/>
                <w:sz w:val="21"/>
                <w:szCs w:val="21"/>
              </w:rPr>
            </w:pPr>
            <w:r>
              <w:rPr>
                <w:rFonts w:hint="eastAsia"/>
                <w:b/>
                <w:bCs/>
                <w:sz w:val="21"/>
                <w:szCs w:val="21"/>
              </w:rPr>
              <w:t>２.</w:t>
            </w:r>
            <w:r>
              <w:rPr>
                <w:rFonts w:ascii="宋体" w:hAnsi="宋体" w:eastAsia="宋体"/>
                <w:b/>
                <w:bCs/>
                <w:sz w:val="21"/>
                <w:szCs w:val="21"/>
              </w:rPr>
              <w:t>《新化学物质环境管理登记办法》第七条</w:t>
            </w:r>
            <w:r>
              <w:rPr>
                <w:rFonts w:hint="eastAsia" w:ascii="宋体" w:hAnsi="宋体" w:eastAsia="宋体"/>
                <w:b/>
                <w:bCs/>
                <w:sz w:val="21"/>
                <w:szCs w:val="21"/>
              </w:rPr>
              <w:t xml:space="preserve"> </w:t>
            </w:r>
            <w:r>
              <w:rPr>
                <w:rFonts w:ascii="宋体" w:hAnsi="宋体" w:eastAsia="宋体"/>
                <w:b/>
                <w:bCs/>
                <w:sz w:val="21"/>
                <w:szCs w:val="21"/>
              </w:rPr>
              <w:t>从事新化学物质研究、生产、进口和加工使用的企业事业单位，应当遵守本办法的规定，采取有效措施，防范和控制新化学物质的环境风险，并对所造成的损害依法承担责任。</w:t>
            </w:r>
          </w:p>
        </w:tc>
      </w:tr>
      <w:tr w14:paraId="70F03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noWrap w:val="0"/>
            <w:tcMar>
              <w:top w:w="0" w:type="dxa"/>
              <w:left w:w="57" w:type="dxa"/>
              <w:bottom w:w="0" w:type="dxa"/>
              <w:right w:w="57" w:type="dxa"/>
            </w:tcMar>
            <w:vAlign w:val="center"/>
          </w:tcPr>
          <w:p w14:paraId="2ACB3012">
            <w:pPr>
              <w:overflowPunct w:val="0"/>
              <w:autoSpaceDE w:val="0"/>
              <w:autoSpaceDN w:val="0"/>
              <w:adjustRightInd w:val="0"/>
              <w:snapToGrid w:val="0"/>
              <w:spacing w:before="20" w:after="20" w:line="300" w:lineRule="auto"/>
              <w:jc w:val="center"/>
              <w:rPr>
                <w:rFonts w:ascii="宋体" w:hAnsi="宋体" w:eastAsia="宋体"/>
                <w:b/>
                <w:sz w:val="21"/>
                <w:szCs w:val="21"/>
              </w:rPr>
            </w:pPr>
            <w:r>
              <w:rPr>
                <w:rFonts w:hint="eastAsia" w:ascii="宋体" w:hAnsi="宋体" w:eastAsia="宋体"/>
                <w:b/>
                <w:sz w:val="21"/>
                <w:szCs w:val="21"/>
              </w:rPr>
              <w:t>处罚依据</w:t>
            </w:r>
          </w:p>
        </w:tc>
        <w:tc>
          <w:tcPr>
            <w:tcW w:w="4351" w:type="pct"/>
            <w:gridSpan w:val="2"/>
            <w:noWrap w:val="0"/>
            <w:tcMar>
              <w:top w:w="0" w:type="dxa"/>
              <w:left w:w="57" w:type="dxa"/>
              <w:bottom w:w="0" w:type="dxa"/>
              <w:right w:w="57" w:type="dxa"/>
            </w:tcMar>
            <w:vAlign w:val="center"/>
          </w:tcPr>
          <w:p w14:paraId="40BCE79C">
            <w:pPr>
              <w:pStyle w:val="20"/>
              <w:autoSpaceDE w:val="0"/>
              <w:autoSpaceDN w:val="0"/>
              <w:spacing w:before="20" w:after="20" w:line="300" w:lineRule="auto"/>
              <w:ind w:left="0" w:right="0" w:rightChars="0" w:firstLine="0"/>
              <w:textAlignment w:val="baseline"/>
              <w:rPr>
                <w:rFonts w:hint="eastAsia" w:cs="Times New Roman"/>
                <w:b w:val="0"/>
                <w:bCs w:val="0"/>
                <w:sz w:val="21"/>
                <w:szCs w:val="21"/>
              </w:rPr>
            </w:pPr>
            <w:r>
              <w:rPr>
                <w:rFonts w:hint="eastAsia" w:cs="Times New Roman"/>
                <w:b w:val="0"/>
                <w:bCs w:val="0"/>
                <w:sz w:val="21"/>
                <w:szCs w:val="21"/>
              </w:rPr>
              <w:t>１.《中华人民共和国生态环境法典》第一千二百零六条</w:t>
            </w:r>
            <w:r>
              <w:rPr>
                <w:rFonts w:cs="Times New Roman"/>
                <w:b w:val="0"/>
                <w:bCs w:val="0"/>
                <w:sz w:val="21"/>
                <w:szCs w:val="21"/>
              </w:rPr>
              <w:t xml:space="preserve"> </w:t>
            </w:r>
            <w:r>
              <w:rPr>
                <w:rFonts w:hint="eastAsia" w:cs="Times New Roman"/>
                <w:b w:val="0"/>
                <w:bCs w:val="0"/>
                <w:sz w:val="21"/>
                <w:szCs w:val="21"/>
              </w:rPr>
              <w:t>违反本法规定，不按照新化学物质环境管理登记证的要求生产、进口新化学物质的，由生态环境主管部门或者其他负有化学物质生产、进口监督管理职责的部门按照职责分工责令改正，处二十万元以上一百万元以下的罚款；拒不改正的，处一百万元以上二百万元以下的罚款，责令限制生产、停产整治；情节严重的，吊销新化学物质环境管理登记证书，报经有批准权的人民政府批准，责令停业、关闭。</w:t>
            </w:r>
          </w:p>
          <w:p w14:paraId="6A04046A">
            <w:pPr>
              <w:pStyle w:val="20"/>
              <w:autoSpaceDE w:val="0"/>
              <w:autoSpaceDN w:val="0"/>
              <w:spacing w:before="20" w:after="20" w:line="300" w:lineRule="auto"/>
              <w:ind w:right="110"/>
              <w:textAlignment w:val="baseline"/>
              <w:rPr>
                <w:rFonts w:hint="eastAsia" w:cs="Times New Roman"/>
                <w:b/>
                <w:bCs/>
                <w:sz w:val="21"/>
                <w:szCs w:val="21"/>
              </w:rPr>
            </w:pPr>
            <w:r>
              <w:rPr>
                <w:rFonts w:hint="eastAsia" w:cs="Times New Roman"/>
                <w:b/>
                <w:bCs/>
                <w:sz w:val="21"/>
                <w:szCs w:val="21"/>
              </w:rPr>
              <w:t>２.《新化学物质环境管理登记办法》第四十九条第二项　违反本办法规定，有下列行为之一的，由设区的市级以上地方生态环境主管部门责令限期改正，处一万元以上三万元以下的罚款；情节严重的，依法依规开展失信联合惩戒，一年内不再受理其新化学物质环境管理登记申请：</w:t>
            </w:r>
          </w:p>
          <w:p w14:paraId="76D73F7F">
            <w:pPr>
              <w:pStyle w:val="20"/>
              <w:autoSpaceDE w:val="0"/>
              <w:autoSpaceDN w:val="0"/>
              <w:spacing w:before="20" w:after="20" w:line="300" w:lineRule="auto"/>
              <w:ind w:left="0" w:right="0" w:rightChars="0" w:firstLine="0"/>
              <w:textAlignment w:val="baseline"/>
              <w:rPr>
                <w:rFonts w:cs="Times New Roman"/>
                <w:b w:val="0"/>
                <w:bCs w:val="0"/>
                <w:sz w:val="21"/>
                <w:szCs w:val="21"/>
              </w:rPr>
            </w:pPr>
            <w:r>
              <w:rPr>
                <w:rFonts w:hint="eastAsia" w:cs="Times New Roman"/>
                <w:b/>
                <w:bCs/>
                <w:sz w:val="21"/>
                <w:szCs w:val="21"/>
              </w:rPr>
              <w:t>（二）未按照登记证的规定生产、进口或者加工使用新化学物质的；</w:t>
            </w:r>
          </w:p>
        </w:tc>
      </w:tr>
      <w:tr w14:paraId="09680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noWrap w:val="0"/>
            <w:tcMar>
              <w:top w:w="0" w:type="dxa"/>
              <w:left w:w="57" w:type="dxa"/>
              <w:bottom w:w="0" w:type="dxa"/>
              <w:right w:w="57" w:type="dxa"/>
            </w:tcMar>
            <w:vAlign w:val="center"/>
          </w:tcPr>
          <w:p w14:paraId="6C880668">
            <w:pPr>
              <w:overflowPunct w:val="0"/>
              <w:autoSpaceDE w:val="0"/>
              <w:autoSpaceDN w:val="0"/>
              <w:adjustRightInd w:val="0"/>
              <w:snapToGrid w:val="0"/>
              <w:spacing w:before="20" w:after="20" w:line="300" w:lineRule="auto"/>
              <w:jc w:val="center"/>
              <w:rPr>
                <w:rFonts w:ascii="宋体" w:hAnsi="宋体" w:eastAsia="宋体"/>
                <w:b/>
                <w:sz w:val="21"/>
                <w:szCs w:val="21"/>
              </w:rPr>
            </w:pPr>
            <w:r>
              <w:rPr>
                <w:rFonts w:hint="eastAsia" w:ascii="宋体" w:hAnsi="宋体" w:eastAsia="宋体"/>
                <w:b/>
                <w:sz w:val="21"/>
                <w:szCs w:val="21"/>
              </w:rPr>
              <w:t>裁量因素</w:t>
            </w:r>
          </w:p>
        </w:tc>
        <w:tc>
          <w:tcPr>
            <w:tcW w:w="3782" w:type="pct"/>
            <w:noWrap w:val="0"/>
            <w:tcMar>
              <w:top w:w="0" w:type="dxa"/>
              <w:left w:w="57" w:type="dxa"/>
              <w:bottom w:w="0" w:type="dxa"/>
              <w:right w:w="57" w:type="dxa"/>
            </w:tcMar>
            <w:vAlign w:val="center"/>
          </w:tcPr>
          <w:p w14:paraId="76B64D19">
            <w:pPr>
              <w:overflowPunct w:val="0"/>
              <w:autoSpaceDE w:val="0"/>
              <w:autoSpaceDN w:val="0"/>
              <w:adjustRightInd w:val="0"/>
              <w:snapToGrid w:val="0"/>
              <w:spacing w:before="20" w:after="20" w:line="300" w:lineRule="auto"/>
              <w:jc w:val="center"/>
              <w:rPr>
                <w:rFonts w:ascii="宋体" w:hAnsi="宋体" w:eastAsia="宋体"/>
                <w:b/>
                <w:sz w:val="21"/>
                <w:szCs w:val="21"/>
              </w:rPr>
            </w:pPr>
            <w:r>
              <w:rPr>
                <w:rFonts w:hint="eastAsia" w:ascii="宋体" w:hAnsi="宋体" w:eastAsia="宋体"/>
                <w:b/>
                <w:sz w:val="21"/>
                <w:szCs w:val="21"/>
              </w:rPr>
              <w:t>裁量因子</w:t>
            </w:r>
          </w:p>
        </w:tc>
        <w:tc>
          <w:tcPr>
            <w:tcW w:w="569" w:type="pct"/>
            <w:noWrap w:val="0"/>
            <w:tcMar>
              <w:top w:w="0" w:type="dxa"/>
              <w:left w:w="57" w:type="dxa"/>
              <w:bottom w:w="0" w:type="dxa"/>
              <w:right w:w="57" w:type="dxa"/>
            </w:tcMar>
            <w:vAlign w:val="center"/>
          </w:tcPr>
          <w:p w14:paraId="1CBC6173">
            <w:pPr>
              <w:overflowPunct w:val="0"/>
              <w:autoSpaceDE w:val="0"/>
              <w:autoSpaceDN w:val="0"/>
              <w:adjustRightInd w:val="0"/>
              <w:snapToGrid w:val="0"/>
              <w:spacing w:before="20" w:after="20" w:line="300" w:lineRule="auto"/>
              <w:jc w:val="center"/>
              <w:rPr>
                <w:rFonts w:ascii="宋体" w:hAnsi="宋体" w:eastAsia="宋体"/>
                <w:b/>
                <w:sz w:val="21"/>
                <w:szCs w:val="21"/>
              </w:rPr>
            </w:pPr>
            <w:r>
              <w:rPr>
                <w:rFonts w:hint="eastAsia" w:ascii="宋体" w:hAnsi="宋体" w:eastAsia="宋体"/>
                <w:b/>
                <w:sz w:val="21"/>
                <w:szCs w:val="21"/>
              </w:rPr>
              <w:t>裁量等级</w:t>
            </w:r>
          </w:p>
        </w:tc>
      </w:tr>
      <w:tr w14:paraId="14189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 w:hRule="atLeast"/>
          <w:jc w:val="center"/>
        </w:trPr>
        <w:tc>
          <w:tcPr>
            <w:tcW w:w="649" w:type="pct"/>
            <w:vMerge w:val="restart"/>
            <w:noWrap w:val="0"/>
            <w:tcMar>
              <w:top w:w="0" w:type="dxa"/>
              <w:left w:w="57" w:type="dxa"/>
              <w:bottom w:w="0" w:type="dxa"/>
              <w:right w:w="57" w:type="dxa"/>
            </w:tcMar>
            <w:vAlign w:val="center"/>
          </w:tcPr>
          <w:p w14:paraId="57F9377C">
            <w:pPr>
              <w:overflowPunct w:val="0"/>
              <w:autoSpaceDE w:val="0"/>
              <w:autoSpaceDN w:val="0"/>
              <w:adjustRightInd w:val="0"/>
              <w:snapToGrid w:val="0"/>
              <w:spacing w:before="20" w:after="20" w:line="300" w:lineRule="auto"/>
              <w:jc w:val="center"/>
              <w:rPr>
                <w:rFonts w:ascii="宋体" w:hAnsi="宋体" w:eastAsia="宋体"/>
                <w:b/>
                <w:sz w:val="21"/>
                <w:szCs w:val="21"/>
              </w:rPr>
            </w:pPr>
            <w:r>
              <w:rPr>
                <w:rFonts w:hint="eastAsia" w:ascii="宋体" w:hAnsi="宋体" w:eastAsia="宋体"/>
                <w:b/>
                <w:sz w:val="21"/>
                <w:szCs w:val="21"/>
              </w:rPr>
              <w:t>违法事实</w:t>
            </w:r>
          </w:p>
        </w:tc>
        <w:tc>
          <w:tcPr>
            <w:tcW w:w="3782" w:type="pct"/>
            <w:noWrap w:val="0"/>
            <w:tcMar>
              <w:top w:w="0" w:type="dxa"/>
              <w:left w:w="57" w:type="dxa"/>
              <w:bottom w:w="0" w:type="dxa"/>
              <w:right w:w="57" w:type="dxa"/>
            </w:tcMar>
            <w:vAlign w:val="center"/>
          </w:tcPr>
          <w:p w14:paraId="59D3268F">
            <w:pPr>
              <w:pStyle w:val="20"/>
              <w:autoSpaceDE w:val="0"/>
              <w:autoSpaceDN w:val="0"/>
              <w:spacing w:before="20" w:after="20" w:line="300" w:lineRule="auto"/>
              <w:ind w:left="0" w:right="0" w:rightChars="0" w:firstLine="0"/>
              <w:textAlignment w:val="baseline"/>
              <w:rPr>
                <w:rFonts w:cs="Times New Roman"/>
                <w:sz w:val="21"/>
                <w:szCs w:val="21"/>
              </w:rPr>
            </w:pPr>
            <w:r>
              <w:rPr>
                <w:rFonts w:hint="eastAsia" w:cs="Times New Roman"/>
                <w:sz w:val="21"/>
                <w:szCs w:val="21"/>
              </w:rPr>
              <w:t>超过许可范围或超过许可使用量，生产或使用新化学物质</w:t>
            </w:r>
          </w:p>
        </w:tc>
        <w:tc>
          <w:tcPr>
            <w:tcW w:w="569" w:type="pct"/>
            <w:noWrap w:val="0"/>
            <w:tcMar>
              <w:top w:w="0" w:type="dxa"/>
              <w:left w:w="57" w:type="dxa"/>
              <w:bottom w:w="0" w:type="dxa"/>
              <w:right w:w="57" w:type="dxa"/>
            </w:tcMar>
            <w:vAlign w:val="center"/>
          </w:tcPr>
          <w:p w14:paraId="3E3764BC">
            <w:pPr>
              <w:overflowPunct w:val="0"/>
              <w:autoSpaceDE w:val="0"/>
              <w:autoSpaceDN w:val="0"/>
              <w:spacing w:before="20" w:after="20" w:line="300" w:lineRule="auto"/>
              <w:jc w:val="center"/>
              <w:textAlignment w:val="baseline"/>
              <w:rPr>
                <w:rFonts w:ascii="宋体" w:hAnsi="宋体" w:eastAsia="宋体"/>
                <w:sz w:val="21"/>
                <w:szCs w:val="21"/>
              </w:rPr>
            </w:pPr>
            <w:r>
              <w:rPr>
                <w:rFonts w:ascii="宋体" w:hAnsi="宋体" w:eastAsia="宋体"/>
                <w:sz w:val="21"/>
                <w:szCs w:val="21"/>
              </w:rPr>
              <w:t>2</w:t>
            </w:r>
          </w:p>
        </w:tc>
      </w:tr>
      <w:tr w14:paraId="4DC41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30C7C2A4">
            <w:pPr>
              <w:autoSpaceDE w:val="0"/>
              <w:autoSpaceDN w:val="0"/>
              <w:spacing w:before="20" w:after="20" w:line="300" w:lineRule="auto"/>
              <w:jc w:val="both"/>
              <w:textAlignment w:val="baseline"/>
              <w:rPr>
                <w:rFonts w:ascii="宋体" w:hAnsi="宋体" w:eastAsia="宋体"/>
                <w:spacing w:val="7"/>
                <w:sz w:val="21"/>
                <w:szCs w:val="21"/>
              </w:rPr>
            </w:pPr>
          </w:p>
        </w:tc>
        <w:tc>
          <w:tcPr>
            <w:tcW w:w="3782" w:type="pct"/>
            <w:noWrap w:val="0"/>
            <w:tcMar>
              <w:top w:w="0" w:type="dxa"/>
              <w:left w:w="57" w:type="dxa"/>
              <w:bottom w:w="0" w:type="dxa"/>
              <w:right w:w="57" w:type="dxa"/>
            </w:tcMar>
            <w:vAlign w:val="center"/>
          </w:tcPr>
          <w:p w14:paraId="0888B5AF">
            <w:pPr>
              <w:pStyle w:val="20"/>
              <w:autoSpaceDE w:val="0"/>
              <w:autoSpaceDN w:val="0"/>
              <w:spacing w:before="20" w:after="20" w:line="300" w:lineRule="auto"/>
              <w:ind w:left="0" w:right="0" w:rightChars="0" w:firstLine="0"/>
              <w:textAlignment w:val="baseline"/>
              <w:rPr>
                <w:rFonts w:cs="Times New Roman"/>
                <w:sz w:val="21"/>
                <w:szCs w:val="21"/>
              </w:rPr>
            </w:pPr>
            <w:r>
              <w:rPr>
                <w:rFonts w:hint="eastAsia" w:cs="Times New Roman"/>
                <w:sz w:val="21"/>
                <w:szCs w:val="21"/>
              </w:rPr>
              <w:t>超过许可范围且超过许可使用量，生产或使用新化学物质</w:t>
            </w:r>
          </w:p>
        </w:tc>
        <w:tc>
          <w:tcPr>
            <w:tcW w:w="569" w:type="pct"/>
            <w:noWrap w:val="0"/>
            <w:tcMar>
              <w:top w:w="0" w:type="dxa"/>
              <w:left w:w="57" w:type="dxa"/>
              <w:bottom w:w="0" w:type="dxa"/>
              <w:right w:w="57" w:type="dxa"/>
            </w:tcMar>
            <w:vAlign w:val="center"/>
          </w:tcPr>
          <w:p w14:paraId="17B8FEDF">
            <w:pPr>
              <w:overflowPunct w:val="0"/>
              <w:autoSpaceDE w:val="0"/>
              <w:autoSpaceDN w:val="0"/>
              <w:spacing w:before="20" w:after="20" w:line="300" w:lineRule="auto"/>
              <w:jc w:val="center"/>
              <w:textAlignment w:val="baseline"/>
              <w:rPr>
                <w:rFonts w:ascii="宋体" w:hAnsi="宋体" w:eastAsia="宋体"/>
                <w:sz w:val="21"/>
                <w:szCs w:val="21"/>
              </w:rPr>
            </w:pPr>
            <w:r>
              <w:rPr>
                <w:rFonts w:ascii="宋体" w:hAnsi="宋体" w:eastAsia="宋体"/>
                <w:sz w:val="21"/>
                <w:szCs w:val="21"/>
              </w:rPr>
              <w:t>4</w:t>
            </w:r>
          </w:p>
        </w:tc>
      </w:tr>
      <w:tr w14:paraId="6FC4D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restart"/>
            <w:noWrap w:val="0"/>
            <w:tcMar>
              <w:top w:w="0" w:type="dxa"/>
              <w:left w:w="57" w:type="dxa"/>
              <w:bottom w:w="0" w:type="dxa"/>
              <w:right w:w="57" w:type="dxa"/>
            </w:tcMar>
            <w:vAlign w:val="center"/>
          </w:tcPr>
          <w:p w14:paraId="7CE93B94">
            <w:pPr>
              <w:overflowPunct w:val="0"/>
              <w:autoSpaceDE w:val="0"/>
              <w:autoSpaceDN w:val="0"/>
              <w:adjustRightInd w:val="0"/>
              <w:snapToGrid w:val="0"/>
              <w:spacing w:before="20" w:after="20" w:line="300" w:lineRule="auto"/>
              <w:jc w:val="center"/>
              <w:rPr>
                <w:rFonts w:ascii="宋体" w:hAnsi="宋体" w:eastAsia="宋体"/>
                <w:b/>
                <w:sz w:val="21"/>
                <w:szCs w:val="21"/>
              </w:rPr>
            </w:pPr>
            <w:r>
              <w:rPr>
                <w:rFonts w:hint="eastAsia" w:ascii="宋体" w:hAnsi="宋体" w:eastAsia="宋体"/>
                <w:b/>
                <w:sz w:val="21"/>
                <w:szCs w:val="21"/>
              </w:rPr>
              <w:t>涉及化学物质数量</w:t>
            </w:r>
          </w:p>
        </w:tc>
        <w:tc>
          <w:tcPr>
            <w:tcW w:w="3782" w:type="pct"/>
            <w:noWrap w:val="0"/>
            <w:tcMar>
              <w:top w:w="0" w:type="dxa"/>
              <w:left w:w="57" w:type="dxa"/>
              <w:bottom w:w="0" w:type="dxa"/>
              <w:right w:w="57" w:type="dxa"/>
            </w:tcMar>
            <w:vAlign w:val="center"/>
          </w:tcPr>
          <w:p w14:paraId="0DBFC264">
            <w:pPr>
              <w:pStyle w:val="20"/>
              <w:autoSpaceDE w:val="0"/>
              <w:autoSpaceDN w:val="0"/>
              <w:spacing w:before="20" w:after="20" w:line="300" w:lineRule="auto"/>
              <w:ind w:left="0" w:right="0" w:rightChars="0" w:firstLine="0"/>
              <w:textAlignment w:val="baseline"/>
              <w:rPr>
                <w:rFonts w:cs="Times New Roman"/>
                <w:sz w:val="21"/>
                <w:szCs w:val="21"/>
              </w:rPr>
            </w:pPr>
            <w:r>
              <w:rPr>
                <w:rFonts w:hint="eastAsia" w:cs="Times New Roman"/>
                <w:sz w:val="21"/>
                <w:szCs w:val="21"/>
                <w:shd w:val="clear" w:color="auto" w:fill="FFFFFF"/>
              </w:rPr>
              <w:t>不足</w:t>
            </w:r>
            <w:r>
              <w:rPr>
                <w:rFonts w:cs="Times New Roman"/>
                <w:sz w:val="21"/>
                <w:szCs w:val="21"/>
                <w:shd w:val="clear" w:color="auto" w:fill="FFFFFF"/>
              </w:rPr>
              <w:t>1</w:t>
            </w:r>
            <w:r>
              <w:rPr>
                <w:rFonts w:hint="eastAsia" w:cs="Times New Roman"/>
                <w:sz w:val="21"/>
                <w:szCs w:val="21"/>
                <w:shd w:val="clear" w:color="auto" w:fill="FFFFFF"/>
              </w:rPr>
              <w:t>吨</w:t>
            </w:r>
          </w:p>
        </w:tc>
        <w:tc>
          <w:tcPr>
            <w:tcW w:w="569" w:type="pct"/>
            <w:noWrap w:val="0"/>
            <w:tcMar>
              <w:top w:w="0" w:type="dxa"/>
              <w:left w:w="57" w:type="dxa"/>
              <w:bottom w:w="0" w:type="dxa"/>
              <w:right w:w="57" w:type="dxa"/>
            </w:tcMar>
            <w:vAlign w:val="center"/>
          </w:tcPr>
          <w:p w14:paraId="1B853991">
            <w:pPr>
              <w:overflowPunct w:val="0"/>
              <w:autoSpaceDE w:val="0"/>
              <w:autoSpaceDN w:val="0"/>
              <w:spacing w:before="20" w:after="20" w:line="300" w:lineRule="auto"/>
              <w:jc w:val="center"/>
              <w:textAlignment w:val="baseline"/>
              <w:rPr>
                <w:rFonts w:ascii="宋体" w:hAnsi="宋体" w:eastAsia="宋体"/>
                <w:sz w:val="21"/>
                <w:szCs w:val="21"/>
              </w:rPr>
            </w:pPr>
            <w:r>
              <w:rPr>
                <w:rFonts w:ascii="宋体" w:hAnsi="宋体" w:eastAsia="宋体"/>
                <w:sz w:val="21"/>
                <w:szCs w:val="21"/>
              </w:rPr>
              <w:t>1</w:t>
            </w:r>
          </w:p>
        </w:tc>
      </w:tr>
      <w:tr w14:paraId="1BEA7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505E110A">
            <w:pPr>
              <w:autoSpaceDE w:val="0"/>
              <w:autoSpaceDN w:val="0"/>
              <w:spacing w:before="20" w:after="20" w:line="300" w:lineRule="auto"/>
              <w:jc w:val="center"/>
              <w:textAlignment w:val="baseline"/>
              <w:rPr>
                <w:rFonts w:ascii="宋体" w:hAnsi="宋体" w:eastAsia="宋体"/>
                <w:spacing w:val="7"/>
                <w:sz w:val="21"/>
                <w:szCs w:val="21"/>
              </w:rPr>
            </w:pPr>
          </w:p>
        </w:tc>
        <w:tc>
          <w:tcPr>
            <w:tcW w:w="3782" w:type="pct"/>
            <w:noWrap w:val="0"/>
            <w:tcMar>
              <w:top w:w="0" w:type="dxa"/>
              <w:left w:w="57" w:type="dxa"/>
              <w:bottom w:w="0" w:type="dxa"/>
              <w:right w:w="57" w:type="dxa"/>
            </w:tcMar>
            <w:vAlign w:val="center"/>
          </w:tcPr>
          <w:p w14:paraId="3C4DED4D">
            <w:pPr>
              <w:pStyle w:val="20"/>
              <w:autoSpaceDE w:val="0"/>
              <w:autoSpaceDN w:val="0"/>
              <w:spacing w:before="20" w:after="20" w:line="300" w:lineRule="auto"/>
              <w:ind w:left="0" w:right="0" w:rightChars="0" w:firstLine="0"/>
              <w:textAlignment w:val="baseline"/>
              <w:rPr>
                <w:rFonts w:cs="Times New Roman"/>
                <w:sz w:val="21"/>
                <w:szCs w:val="21"/>
              </w:rPr>
            </w:pPr>
            <w:r>
              <w:rPr>
                <w:rFonts w:cs="Times New Roman"/>
                <w:sz w:val="21"/>
                <w:szCs w:val="21"/>
                <w:shd w:val="clear" w:color="auto" w:fill="FFFFFF"/>
              </w:rPr>
              <w:t>1</w:t>
            </w:r>
            <w:r>
              <w:rPr>
                <w:rFonts w:hint="eastAsia" w:cs="Times New Roman"/>
                <w:sz w:val="21"/>
                <w:szCs w:val="21"/>
                <w:shd w:val="clear" w:color="auto" w:fill="FFFFFF"/>
              </w:rPr>
              <w:t>吨以上不足</w:t>
            </w:r>
            <w:r>
              <w:rPr>
                <w:rFonts w:cs="Times New Roman"/>
                <w:sz w:val="21"/>
                <w:szCs w:val="21"/>
                <w:shd w:val="clear" w:color="auto" w:fill="FFFFFF"/>
              </w:rPr>
              <w:t>10</w:t>
            </w:r>
            <w:r>
              <w:rPr>
                <w:rFonts w:hint="eastAsia" w:cs="Times New Roman"/>
                <w:sz w:val="21"/>
                <w:szCs w:val="21"/>
                <w:shd w:val="clear" w:color="auto" w:fill="FFFFFF"/>
              </w:rPr>
              <w:t>吨</w:t>
            </w:r>
          </w:p>
        </w:tc>
        <w:tc>
          <w:tcPr>
            <w:tcW w:w="569" w:type="pct"/>
            <w:noWrap w:val="0"/>
            <w:tcMar>
              <w:top w:w="0" w:type="dxa"/>
              <w:left w:w="57" w:type="dxa"/>
              <w:bottom w:w="0" w:type="dxa"/>
              <w:right w:w="57" w:type="dxa"/>
            </w:tcMar>
            <w:vAlign w:val="center"/>
          </w:tcPr>
          <w:p w14:paraId="3FFF622B">
            <w:pPr>
              <w:overflowPunct w:val="0"/>
              <w:autoSpaceDE w:val="0"/>
              <w:autoSpaceDN w:val="0"/>
              <w:spacing w:before="20" w:after="20" w:line="300" w:lineRule="auto"/>
              <w:jc w:val="center"/>
              <w:textAlignment w:val="baseline"/>
              <w:rPr>
                <w:rFonts w:ascii="宋体" w:hAnsi="宋体" w:eastAsia="宋体"/>
                <w:sz w:val="21"/>
                <w:szCs w:val="21"/>
              </w:rPr>
            </w:pPr>
            <w:r>
              <w:rPr>
                <w:rFonts w:ascii="宋体" w:hAnsi="宋体" w:eastAsia="宋体"/>
                <w:sz w:val="21"/>
                <w:szCs w:val="21"/>
              </w:rPr>
              <w:t>3</w:t>
            </w:r>
          </w:p>
        </w:tc>
      </w:tr>
      <w:tr w14:paraId="476C3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3753ABF5">
            <w:pPr>
              <w:spacing w:before="20" w:after="20" w:line="300" w:lineRule="auto"/>
              <w:rPr>
                <w:rFonts w:ascii="宋体" w:hAnsi="宋体" w:eastAsia="宋体"/>
                <w:spacing w:val="7"/>
                <w:sz w:val="21"/>
                <w:szCs w:val="21"/>
              </w:rPr>
            </w:pPr>
          </w:p>
        </w:tc>
        <w:tc>
          <w:tcPr>
            <w:tcW w:w="3782" w:type="pct"/>
            <w:noWrap w:val="0"/>
            <w:tcMar>
              <w:top w:w="0" w:type="dxa"/>
              <w:left w:w="57" w:type="dxa"/>
              <w:bottom w:w="0" w:type="dxa"/>
              <w:right w:w="57" w:type="dxa"/>
            </w:tcMar>
            <w:vAlign w:val="center"/>
          </w:tcPr>
          <w:p w14:paraId="0A0B86C1">
            <w:pPr>
              <w:pStyle w:val="20"/>
              <w:autoSpaceDE w:val="0"/>
              <w:autoSpaceDN w:val="0"/>
              <w:spacing w:before="20" w:after="20" w:line="300" w:lineRule="auto"/>
              <w:ind w:left="0" w:right="0" w:rightChars="0" w:firstLine="0"/>
              <w:textAlignment w:val="baseline"/>
              <w:rPr>
                <w:rFonts w:cs="Times New Roman"/>
                <w:sz w:val="21"/>
                <w:szCs w:val="21"/>
              </w:rPr>
            </w:pPr>
            <w:r>
              <w:rPr>
                <w:rFonts w:cs="Times New Roman"/>
                <w:sz w:val="21"/>
                <w:szCs w:val="21"/>
                <w:shd w:val="clear" w:color="auto" w:fill="FFFFFF"/>
              </w:rPr>
              <w:t>10</w:t>
            </w:r>
            <w:r>
              <w:rPr>
                <w:rFonts w:hint="eastAsia" w:cs="Times New Roman"/>
                <w:sz w:val="21"/>
                <w:szCs w:val="21"/>
                <w:shd w:val="clear" w:color="auto" w:fill="FFFFFF"/>
              </w:rPr>
              <w:t>吨以上</w:t>
            </w:r>
          </w:p>
        </w:tc>
        <w:tc>
          <w:tcPr>
            <w:tcW w:w="569" w:type="pct"/>
            <w:noWrap w:val="0"/>
            <w:tcMar>
              <w:top w:w="0" w:type="dxa"/>
              <w:left w:w="57" w:type="dxa"/>
              <w:bottom w:w="0" w:type="dxa"/>
              <w:right w:w="57" w:type="dxa"/>
            </w:tcMar>
            <w:vAlign w:val="center"/>
          </w:tcPr>
          <w:p w14:paraId="6B1555F3">
            <w:pPr>
              <w:spacing w:before="20" w:after="20" w:line="300" w:lineRule="auto"/>
              <w:jc w:val="center"/>
              <w:rPr>
                <w:rFonts w:ascii="宋体" w:hAnsi="宋体" w:eastAsia="宋体"/>
                <w:sz w:val="21"/>
                <w:szCs w:val="21"/>
              </w:rPr>
            </w:pPr>
            <w:r>
              <w:rPr>
                <w:rFonts w:ascii="宋体" w:hAnsi="宋体" w:eastAsia="宋体"/>
                <w:sz w:val="21"/>
                <w:szCs w:val="21"/>
              </w:rPr>
              <w:t>5</w:t>
            </w:r>
          </w:p>
        </w:tc>
      </w:tr>
      <w:tr w14:paraId="4504F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restart"/>
            <w:noWrap w:val="0"/>
            <w:tcMar>
              <w:top w:w="0" w:type="dxa"/>
              <w:left w:w="57" w:type="dxa"/>
              <w:bottom w:w="0" w:type="dxa"/>
              <w:right w:w="57" w:type="dxa"/>
            </w:tcMar>
            <w:vAlign w:val="center"/>
          </w:tcPr>
          <w:p w14:paraId="302017CB">
            <w:pPr>
              <w:overflowPunct w:val="0"/>
              <w:autoSpaceDE w:val="0"/>
              <w:autoSpaceDN w:val="0"/>
              <w:adjustRightInd w:val="0"/>
              <w:snapToGrid w:val="0"/>
              <w:spacing w:before="20" w:after="20" w:line="300" w:lineRule="auto"/>
              <w:jc w:val="center"/>
              <w:rPr>
                <w:rFonts w:ascii="宋体" w:hAnsi="宋体" w:eastAsia="宋体"/>
                <w:b/>
                <w:sz w:val="21"/>
                <w:szCs w:val="21"/>
              </w:rPr>
            </w:pPr>
            <w:r>
              <w:rPr>
                <w:rFonts w:hint="eastAsia" w:ascii="宋体" w:hAnsi="宋体" w:eastAsia="宋体"/>
                <w:b/>
                <w:sz w:val="21"/>
                <w:szCs w:val="21"/>
              </w:rPr>
              <w:t>违法行为持续时间</w:t>
            </w:r>
          </w:p>
        </w:tc>
        <w:tc>
          <w:tcPr>
            <w:tcW w:w="3782" w:type="pct"/>
            <w:noWrap w:val="0"/>
            <w:tcMar>
              <w:top w:w="0" w:type="dxa"/>
              <w:left w:w="57" w:type="dxa"/>
              <w:bottom w:w="0" w:type="dxa"/>
              <w:right w:w="57" w:type="dxa"/>
            </w:tcMar>
            <w:vAlign w:val="center"/>
          </w:tcPr>
          <w:p w14:paraId="43BB085C">
            <w:pPr>
              <w:pStyle w:val="20"/>
              <w:autoSpaceDE w:val="0"/>
              <w:autoSpaceDN w:val="0"/>
              <w:adjustRightInd w:val="0"/>
              <w:snapToGrid w:val="0"/>
              <w:spacing w:before="20" w:after="20" w:line="300" w:lineRule="auto"/>
              <w:ind w:left="0" w:right="0" w:rightChars="0" w:firstLine="0"/>
              <w:textAlignment w:val="baseline"/>
              <w:rPr>
                <w:rFonts w:cs="Segoe UI"/>
                <w:sz w:val="21"/>
                <w:szCs w:val="21"/>
                <w:shd w:val="clear" w:color="auto" w:fill="FFFFFF"/>
              </w:rPr>
            </w:pPr>
            <w:r>
              <w:rPr>
                <w:rFonts w:hint="eastAsia" w:cs="Times New Roman"/>
                <w:sz w:val="21"/>
                <w:szCs w:val="21"/>
              </w:rPr>
              <w:t>不足</w:t>
            </w:r>
            <w:r>
              <w:rPr>
                <w:rFonts w:cs="Times New Roman"/>
                <w:sz w:val="21"/>
                <w:szCs w:val="21"/>
              </w:rPr>
              <w:t>3</w:t>
            </w:r>
            <w:r>
              <w:rPr>
                <w:rFonts w:hint="eastAsia" w:cs="Times New Roman"/>
                <w:sz w:val="21"/>
                <w:szCs w:val="21"/>
              </w:rPr>
              <w:t>个月</w:t>
            </w:r>
          </w:p>
        </w:tc>
        <w:tc>
          <w:tcPr>
            <w:tcW w:w="569" w:type="pct"/>
            <w:noWrap w:val="0"/>
            <w:tcMar>
              <w:top w:w="0" w:type="dxa"/>
              <w:left w:w="57" w:type="dxa"/>
              <w:bottom w:w="0" w:type="dxa"/>
              <w:right w:w="57" w:type="dxa"/>
            </w:tcMar>
            <w:vAlign w:val="center"/>
          </w:tcPr>
          <w:p w14:paraId="51491B53">
            <w:pPr>
              <w:autoSpaceDE w:val="0"/>
              <w:autoSpaceDN w:val="0"/>
              <w:spacing w:before="20" w:after="20" w:line="300" w:lineRule="auto"/>
              <w:jc w:val="center"/>
              <w:textAlignment w:val="baseline"/>
              <w:rPr>
                <w:rFonts w:ascii="宋体" w:hAnsi="宋体" w:eastAsia="宋体"/>
                <w:sz w:val="21"/>
                <w:szCs w:val="21"/>
              </w:rPr>
            </w:pPr>
            <w:r>
              <w:rPr>
                <w:rFonts w:ascii="宋体" w:hAnsi="宋体" w:eastAsia="宋体"/>
                <w:spacing w:val="7"/>
                <w:sz w:val="21"/>
                <w:szCs w:val="21"/>
              </w:rPr>
              <w:t>1</w:t>
            </w:r>
          </w:p>
        </w:tc>
      </w:tr>
      <w:tr w14:paraId="00366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1E5BDB2D">
            <w:pPr>
              <w:autoSpaceDE w:val="0"/>
              <w:autoSpaceDN w:val="0"/>
              <w:spacing w:before="20" w:after="20" w:line="300" w:lineRule="auto"/>
              <w:jc w:val="center"/>
              <w:textAlignment w:val="baseline"/>
              <w:rPr>
                <w:rFonts w:ascii="宋体" w:hAnsi="宋体" w:eastAsia="宋体"/>
                <w:spacing w:val="7"/>
                <w:sz w:val="21"/>
                <w:szCs w:val="21"/>
              </w:rPr>
            </w:pPr>
          </w:p>
        </w:tc>
        <w:tc>
          <w:tcPr>
            <w:tcW w:w="3782" w:type="pct"/>
            <w:noWrap w:val="0"/>
            <w:tcMar>
              <w:top w:w="0" w:type="dxa"/>
              <w:left w:w="57" w:type="dxa"/>
              <w:bottom w:w="0" w:type="dxa"/>
              <w:right w:w="57" w:type="dxa"/>
            </w:tcMar>
            <w:vAlign w:val="center"/>
          </w:tcPr>
          <w:p w14:paraId="7FF173F7">
            <w:pPr>
              <w:pStyle w:val="20"/>
              <w:autoSpaceDE w:val="0"/>
              <w:autoSpaceDN w:val="0"/>
              <w:adjustRightInd w:val="0"/>
              <w:snapToGrid w:val="0"/>
              <w:spacing w:before="20" w:after="20" w:line="300" w:lineRule="auto"/>
              <w:ind w:left="0" w:right="0" w:rightChars="0" w:firstLine="0"/>
              <w:textAlignment w:val="baseline"/>
              <w:rPr>
                <w:rFonts w:cs="Segoe UI"/>
                <w:sz w:val="21"/>
                <w:szCs w:val="21"/>
                <w:shd w:val="clear" w:color="auto" w:fill="FFFFFF"/>
              </w:rPr>
            </w:pPr>
            <w:r>
              <w:rPr>
                <w:rFonts w:cs="Times New Roman"/>
                <w:sz w:val="21"/>
                <w:szCs w:val="21"/>
              </w:rPr>
              <w:t>3</w:t>
            </w:r>
            <w:r>
              <w:rPr>
                <w:rFonts w:hint="eastAsia" w:cs="Times New Roman"/>
                <w:sz w:val="21"/>
                <w:szCs w:val="21"/>
              </w:rPr>
              <w:t>个月以上不足</w:t>
            </w:r>
            <w:r>
              <w:rPr>
                <w:rFonts w:cs="Times New Roman"/>
                <w:sz w:val="21"/>
                <w:szCs w:val="21"/>
              </w:rPr>
              <w:t>6</w:t>
            </w:r>
            <w:r>
              <w:rPr>
                <w:rFonts w:hint="eastAsia" w:cs="Times New Roman"/>
                <w:sz w:val="21"/>
                <w:szCs w:val="21"/>
              </w:rPr>
              <w:t>个月</w:t>
            </w:r>
          </w:p>
        </w:tc>
        <w:tc>
          <w:tcPr>
            <w:tcW w:w="569" w:type="pct"/>
            <w:noWrap w:val="0"/>
            <w:tcMar>
              <w:top w:w="0" w:type="dxa"/>
              <w:left w:w="57" w:type="dxa"/>
              <w:bottom w:w="0" w:type="dxa"/>
              <w:right w:w="57" w:type="dxa"/>
            </w:tcMar>
            <w:vAlign w:val="center"/>
          </w:tcPr>
          <w:p w14:paraId="0BCA6ECA">
            <w:pPr>
              <w:autoSpaceDE w:val="0"/>
              <w:autoSpaceDN w:val="0"/>
              <w:spacing w:before="20" w:after="20" w:line="300" w:lineRule="auto"/>
              <w:jc w:val="center"/>
              <w:textAlignment w:val="baseline"/>
              <w:rPr>
                <w:rFonts w:ascii="宋体" w:hAnsi="宋体" w:eastAsia="宋体"/>
                <w:sz w:val="21"/>
                <w:szCs w:val="21"/>
              </w:rPr>
            </w:pPr>
            <w:r>
              <w:rPr>
                <w:rFonts w:ascii="宋体" w:hAnsi="宋体" w:eastAsia="宋体"/>
                <w:spacing w:val="7"/>
                <w:sz w:val="21"/>
                <w:szCs w:val="21"/>
              </w:rPr>
              <w:t>2</w:t>
            </w:r>
          </w:p>
        </w:tc>
      </w:tr>
      <w:tr w14:paraId="08213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05C2AA19">
            <w:pPr>
              <w:autoSpaceDE w:val="0"/>
              <w:autoSpaceDN w:val="0"/>
              <w:spacing w:before="20" w:after="20" w:line="300" w:lineRule="auto"/>
              <w:jc w:val="center"/>
              <w:textAlignment w:val="baseline"/>
              <w:rPr>
                <w:rFonts w:ascii="宋体" w:hAnsi="宋体" w:eastAsia="宋体"/>
                <w:spacing w:val="7"/>
                <w:sz w:val="21"/>
                <w:szCs w:val="21"/>
              </w:rPr>
            </w:pPr>
          </w:p>
        </w:tc>
        <w:tc>
          <w:tcPr>
            <w:tcW w:w="3782" w:type="pct"/>
            <w:noWrap w:val="0"/>
            <w:tcMar>
              <w:top w:w="0" w:type="dxa"/>
              <w:left w:w="57" w:type="dxa"/>
              <w:bottom w:w="0" w:type="dxa"/>
              <w:right w:w="57" w:type="dxa"/>
            </w:tcMar>
            <w:vAlign w:val="center"/>
          </w:tcPr>
          <w:p w14:paraId="11E0D4FB">
            <w:pPr>
              <w:pStyle w:val="20"/>
              <w:autoSpaceDE w:val="0"/>
              <w:autoSpaceDN w:val="0"/>
              <w:adjustRightInd w:val="0"/>
              <w:snapToGrid w:val="0"/>
              <w:spacing w:before="20" w:after="20" w:line="300" w:lineRule="auto"/>
              <w:ind w:left="0" w:right="0" w:rightChars="0" w:firstLine="0"/>
              <w:textAlignment w:val="baseline"/>
              <w:rPr>
                <w:rFonts w:cs="Segoe UI"/>
                <w:sz w:val="21"/>
                <w:szCs w:val="21"/>
                <w:shd w:val="clear" w:color="auto" w:fill="FFFFFF"/>
              </w:rPr>
            </w:pPr>
            <w:r>
              <w:rPr>
                <w:rFonts w:cs="Times New Roman"/>
                <w:sz w:val="21"/>
                <w:szCs w:val="21"/>
              </w:rPr>
              <w:t>6</w:t>
            </w:r>
            <w:r>
              <w:rPr>
                <w:rFonts w:hint="eastAsia" w:cs="Times New Roman"/>
                <w:sz w:val="21"/>
                <w:szCs w:val="21"/>
              </w:rPr>
              <w:t>个月以上不足</w:t>
            </w:r>
            <w:r>
              <w:rPr>
                <w:rFonts w:cs="Times New Roman"/>
                <w:sz w:val="21"/>
                <w:szCs w:val="21"/>
              </w:rPr>
              <w:t>1</w:t>
            </w:r>
            <w:r>
              <w:rPr>
                <w:rFonts w:hint="eastAsia" w:cs="Times New Roman"/>
                <w:sz w:val="21"/>
                <w:szCs w:val="21"/>
              </w:rPr>
              <w:t>年</w:t>
            </w:r>
          </w:p>
        </w:tc>
        <w:tc>
          <w:tcPr>
            <w:tcW w:w="569" w:type="pct"/>
            <w:noWrap w:val="0"/>
            <w:tcMar>
              <w:top w:w="0" w:type="dxa"/>
              <w:left w:w="57" w:type="dxa"/>
              <w:bottom w:w="0" w:type="dxa"/>
              <w:right w:w="57" w:type="dxa"/>
            </w:tcMar>
            <w:vAlign w:val="center"/>
          </w:tcPr>
          <w:p w14:paraId="4C3DF959">
            <w:pPr>
              <w:autoSpaceDE w:val="0"/>
              <w:autoSpaceDN w:val="0"/>
              <w:spacing w:before="20" w:after="20" w:line="300" w:lineRule="auto"/>
              <w:jc w:val="center"/>
              <w:textAlignment w:val="baseline"/>
              <w:rPr>
                <w:rFonts w:ascii="宋体" w:hAnsi="宋体" w:eastAsia="宋体"/>
                <w:sz w:val="21"/>
                <w:szCs w:val="21"/>
              </w:rPr>
            </w:pPr>
            <w:r>
              <w:rPr>
                <w:rFonts w:ascii="宋体" w:hAnsi="宋体" w:eastAsia="宋体"/>
                <w:spacing w:val="7"/>
                <w:sz w:val="21"/>
                <w:szCs w:val="21"/>
              </w:rPr>
              <w:t>3</w:t>
            </w:r>
          </w:p>
        </w:tc>
      </w:tr>
      <w:tr w14:paraId="4FA5C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3FE8EDCA">
            <w:pPr>
              <w:autoSpaceDE w:val="0"/>
              <w:autoSpaceDN w:val="0"/>
              <w:spacing w:before="20" w:after="20" w:line="300" w:lineRule="auto"/>
              <w:jc w:val="center"/>
              <w:textAlignment w:val="baseline"/>
              <w:rPr>
                <w:rFonts w:ascii="宋体" w:hAnsi="宋体" w:eastAsia="宋体"/>
                <w:spacing w:val="7"/>
                <w:sz w:val="21"/>
                <w:szCs w:val="21"/>
              </w:rPr>
            </w:pPr>
          </w:p>
        </w:tc>
        <w:tc>
          <w:tcPr>
            <w:tcW w:w="3782" w:type="pct"/>
            <w:noWrap w:val="0"/>
            <w:tcMar>
              <w:top w:w="0" w:type="dxa"/>
              <w:left w:w="57" w:type="dxa"/>
              <w:bottom w:w="0" w:type="dxa"/>
              <w:right w:w="57" w:type="dxa"/>
            </w:tcMar>
            <w:vAlign w:val="center"/>
          </w:tcPr>
          <w:p w14:paraId="7D76291F">
            <w:pPr>
              <w:pStyle w:val="20"/>
              <w:autoSpaceDE w:val="0"/>
              <w:autoSpaceDN w:val="0"/>
              <w:adjustRightInd w:val="0"/>
              <w:snapToGrid w:val="0"/>
              <w:spacing w:before="20" w:after="20" w:line="300" w:lineRule="auto"/>
              <w:ind w:left="0" w:right="0" w:rightChars="0" w:firstLine="0"/>
              <w:textAlignment w:val="baseline"/>
              <w:rPr>
                <w:rFonts w:cs="Segoe UI"/>
                <w:sz w:val="21"/>
                <w:szCs w:val="21"/>
                <w:shd w:val="clear" w:color="auto" w:fill="FFFFFF"/>
              </w:rPr>
            </w:pPr>
            <w:r>
              <w:rPr>
                <w:rFonts w:cs="Times New Roman"/>
                <w:sz w:val="21"/>
                <w:szCs w:val="21"/>
              </w:rPr>
              <w:t>1</w:t>
            </w:r>
            <w:r>
              <w:rPr>
                <w:rFonts w:hint="eastAsia" w:cs="Times New Roman"/>
                <w:sz w:val="21"/>
                <w:szCs w:val="21"/>
              </w:rPr>
              <w:t>年以上不足</w:t>
            </w:r>
            <w:r>
              <w:rPr>
                <w:rFonts w:cs="Times New Roman"/>
                <w:sz w:val="21"/>
                <w:szCs w:val="21"/>
              </w:rPr>
              <w:t>2</w:t>
            </w:r>
            <w:r>
              <w:rPr>
                <w:rFonts w:hint="eastAsia" w:cs="Times New Roman"/>
                <w:sz w:val="21"/>
                <w:szCs w:val="21"/>
              </w:rPr>
              <w:t>年</w:t>
            </w:r>
          </w:p>
        </w:tc>
        <w:tc>
          <w:tcPr>
            <w:tcW w:w="569" w:type="pct"/>
            <w:noWrap w:val="0"/>
            <w:tcMar>
              <w:top w:w="0" w:type="dxa"/>
              <w:left w:w="57" w:type="dxa"/>
              <w:bottom w:w="0" w:type="dxa"/>
              <w:right w:w="57" w:type="dxa"/>
            </w:tcMar>
            <w:vAlign w:val="center"/>
          </w:tcPr>
          <w:p w14:paraId="7F21D918">
            <w:pPr>
              <w:autoSpaceDE w:val="0"/>
              <w:autoSpaceDN w:val="0"/>
              <w:spacing w:before="20" w:after="20" w:line="300" w:lineRule="auto"/>
              <w:jc w:val="center"/>
              <w:textAlignment w:val="baseline"/>
              <w:rPr>
                <w:rFonts w:ascii="宋体" w:hAnsi="宋体" w:eastAsia="宋体"/>
                <w:sz w:val="21"/>
                <w:szCs w:val="21"/>
              </w:rPr>
            </w:pPr>
            <w:r>
              <w:rPr>
                <w:rFonts w:ascii="宋体" w:hAnsi="宋体" w:eastAsia="宋体"/>
                <w:spacing w:val="7"/>
                <w:sz w:val="21"/>
                <w:szCs w:val="21"/>
              </w:rPr>
              <w:t>4</w:t>
            </w:r>
          </w:p>
        </w:tc>
      </w:tr>
      <w:tr w14:paraId="39B24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49" w:type="pct"/>
            <w:vMerge w:val="continue"/>
            <w:noWrap w:val="0"/>
            <w:tcMar>
              <w:top w:w="0" w:type="dxa"/>
              <w:left w:w="57" w:type="dxa"/>
              <w:bottom w:w="0" w:type="dxa"/>
              <w:right w:w="57" w:type="dxa"/>
            </w:tcMar>
            <w:vAlign w:val="center"/>
          </w:tcPr>
          <w:p w14:paraId="537ABDCE">
            <w:pPr>
              <w:autoSpaceDE w:val="0"/>
              <w:autoSpaceDN w:val="0"/>
              <w:spacing w:before="20" w:after="20" w:line="300" w:lineRule="auto"/>
              <w:jc w:val="center"/>
              <w:textAlignment w:val="baseline"/>
              <w:rPr>
                <w:rFonts w:ascii="宋体" w:hAnsi="宋体" w:eastAsia="宋体"/>
                <w:spacing w:val="7"/>
                <w:sz w:val="21"/>
                <w:szCs w:val="21"/>
              </w:rPr>
            </w:pPr>
          </w:p>
        </w:tc>
        <w:tc>
          <w:tcPr>
            <w:tcW w:w="3782" w:type="pct"/>
            <w:noWrap w:val="0"/>
            <w:tcMar>
              <w:top w:w="0" w:type="dxa"/>
              <w:left w:w="57" w:type="dxa"/>
              <w:bottom w:w="0" w:type="dxa"/>
              <w:right w:w="57" w:type="dxa"/>
            </w:tcMar>
            <w:vAlign w:val="center"/>
          </w:tcPr>
          <w:p w14:paraId="548D30CC">
            <w:pPr>
              <w:pStyle w:val="20"/>
              <w:autoSpaceDE w:val="0"/>
              <w:autoSpaceDN w:val="0"/>
              <w:adjustRightInd w:val="0"/>
              <w:snapToGrid w:val="0"/>
              <w:spacing w:before="20" w:after="20" w:line="300" w:lineRule="auto"/>
              <w:ind w:left="0" w:right="0" w:rightChars="0" w:firstLine="0"/>
              <w:textAlignment w:val="baseline"/>
              <w:rPr>
                <w:rFonts w:cs="Segoe UI"/>
                <w:sz w:val="21"/>
                <w:szCs w:val="21"/>
                <w:shd w:val="clear" w:color="auto" w:fill="FFFFFF"/>
              </w:rPr>
            </w:pPr>
            <w:r>
              <w:rPr>
                <w:rFonts w:cs="Times New Roman"/>
                <w:sz w:val="21"/>
                <w:szCs w:val="21"/>
              </w:rPr>
              <w:t>2</w:t>
            </w:r>
            <w:r>
              <w:rPr>
                <w:rFonts w:hint="eastAsia" w:cs="Times New Roman"/>
                <w:sz w:val="21"/>
                <w:szCs w:val="21"/>
              </w:rPr>
              <w:t>年以上</w:t>
            </w:r>
          </w:p>
        </w:tc>
        <w:tc>
          <w:tcPr>
            <w:tcW w:w="569" w:type="pct"/>
            <w:noWrap w:val="0"/>
            <w:tcMar>
              <w:top w:w="0" w:type="dxa"/>
              <w:left w:w="57" w:type="dxa"/>
              <w:bottom w:w="0" w:type="dxa"/>
              <w:right w:w="57" w:type="dxa"/>
            </w:tcMar>
            <w:vAlign w:val="center"/>
          </w:tcPr>
          <w:p w14:paraId="072E0B5C">
            <w:pPr>
              <w:autoSpaceDE w:val="0"/>
              <w:autoSpaceDN w:val="0"/>
              <w:spacing w:before="20" w:after="20" w:line="300" w:lineRule="auto"/>
              <w:jc w:val="center"/>
              <w:textAlignment w:val="baseline"/>
              <w:rPr>
                <w:rFonts w:ascii="宋体" w:hAnsi="宋体" w:eastAsia="宋体"/>
                <w:sz w:val="21"/>
                <w:szCs w:val="21"/>
              </w:rPr>
            </w:pPr>
            <w:r>
              <w:rPr>
                <w:rFonts w:ascii="宋体" w:hAnsi="宋体" w:eastAsia="宋体"/>
                <w:spacing w:val="7"/>
                <w:sz w:val="21"/>
                <w:szCs w:val="21"/>
              </w:rPr>
              <w:t>5</w:t>
            </w:r>
          </w:p>
        </w:tc>
      </w:tr>
    </w:tbl>
    <w:p w14:paraId="076832F6">
      <w:pPr>
        <w:spacing w:before="40" w:after="40" w:line="400" w:lineRule="auto"/>
        <w:jc w:val="both"/>
        <w:rPr>
          <w:rFonts w:hint="default" w:ascii="Times New Roman" w:hAnsi="Times New Roman" w:eastAsia="黑体"/>
          <w:b/>
          <w:sz w:val="24"/>
          <w:lang w:val="en-US" w:eastAsia="zh-CN"/>
        </w:rPr>
      </w:pPr>
      <w:r>
        <w:rPr>
          <w:rFonts w:hint="eastAsia" w:ascii="Times New Roman" w:hAnsi="Times New Roman" w:eastAsia="黑体"/>
          <w:b/>
          <w:sz w:val="24"/>
        </w:rPr>
        <w:t>２.不</w:t>
      </w:r>
      <w:r>
        <w:rPr>
          <w:rFonts w:ascii="Times New Roman" w:hAnsi="Times New Roman" w:eastAsia="黑体"/>
          <w:b/>
          <w:sz w:val="24"/>
        </w:rPr>
        <w:t>按照新化学物质环境管理登记证的规定加工使用新化学物质，或者</w:t>
      </w:r>
      <w:r>
        <w:rPr>
          <w:rFonts w:hint="eastAsia" w:ascii="Times New Roman" w:hAnsi="Times New Roman" w:eastAsia="黑体"/>
          <w:b/>
          <w:sz w:val="24"/>
        </w:rPr>
        <w:t>相关信息发生变化时</w:t>
      </w:r>
      <w:r>
        <w:rPr>
          <w:rFonts w:ascii="Times New Roman" w:hAnsi="Times New Roman" w:eastAsia="黑体"/>
          <w:b/>
          <w:sz w:val="24"/>
        </w:rPr>
        <w:t>未</w:t>
      </w:r>
      <w:r>
        <w:rPr>
          <w:rFonts w:hint="eastAsia" w:ascii="Times New Roman" w:hAnsi="Times New Roman" w:eastAsia="黑体"/>
          <w:b/>
          <w:sz w:val="24"/>
        </w:rPr>
        <w:t>依法</w:t>
      </w:r>
      <w:r>
        <w:rPr>
          <w:rFonts w:ascii="Times New Roman" w:hAnsi="Times New Roman" w:eastAsia="黑体"/>
          <w:b/>
          <w:sz w:val="24"/>
        </w:rPr>
        <w:t>办理</w:t>
      </w:r>
      <w:r>
        <w:rPr>
          <w:rFonts w:hint="eastAsia" w:ascii="Times New Roman" w:hAnsi="Times New Roman" w:eastAsia="黑体"/>
          <w:b/>
          <w:sz w:val="24"/>
        </w:rPr>
        <w:t>登记证</w:t>
      </w:r>
      <w:r>
        <w:rPr>
          <w:rFonts w:ascii="Times New Roman" w:hAnsi="Times New Roman" w:eastAsia="黑体"/>
          <w:b/>
          <w:sz w:val="24"/>
        </w:rPr>
        <w:t>变更登记的行为</w:t>
      </w:r>
      <w:r>
        <w:rPr>
          <w:rFonts w:hint="eastAsia" w:ascii="Times New Roman" w:hAnsi="Times New Roman" w:eastAsia="黑体"/>
          <w:b/>
          <w:sz w:val="24"/>
          <w:lang w:eastAsia="zh-CN"/>
        </w:rPr>
        <w:t>（新增）</w:t>
      </w:r>
    </w:p>
    <w:tbl>
      <w:tblPr>
        <w:tblStyle w:val="8"/>
        <w:tblW w:w="9064"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 w:type="dxa"/>
          <w:bottom w:w="0" w:type="dxa"/>
          <w:right w:w="10" w:type="dxa"/>
        </w:tblCellMar>
      </w:tblPr>
      <w:tblGrid>
        <w:gridCol w:w="1126"/>
        <w:gridCol w:w="6804"/>
        <w:gridCol w:w="1134"/>
      </w:tblGrid>
      <w:tr w14:paraId="067EF59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noWrap w:val="0"/>
            <w:vAlign w:val="center"/>
          </w:tcPr>
          <w:p w14:paraId="39AFB961">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违反条款</w:t>
            </w:r>
          </w:p>
        </w:tc>
        <w:tc>
          <w:tcPr>
            <w:tcW w:w="7938" w:type="dxa"/>
            <w:gridSpan w:val="2"/>
            <w:noWrap w:val="0"/>
            <w:vAlign w:val="center"/>
          </w:tcPr>
          <w:p w14:paraId="2E1E1DBD">
            <w:pPr>
              <w:spacing w:before="20" w:after="20" w:line="300" w:lineRule="auto"/>
              <w:rPr>
                <w:rFonts w:hint="eastAsia" w:ascii="宋体" w:hAnsi="宋体" w:eastAsia="宋体"/>
                <w:b/>
                <w:bCs w:val="0"/>
                <w:sz w:val="21"/>
                <w:szCs w:val="21"/>
              </w:rPr>
            </w:pPr>
            <w:r>
              <w:rPr>
                <w:rFonts w:ascii="宋体" w:hAnsi="宋体" w:eastAsia="宋体"/>
                <w:b/>
                <w:bCs w:val="0"/>
                <w:sz w:val="21"/>
                <w:szCs w:val="21"/>
              </w:rPr>
              <w:t>《新化学物质环境管理登记办法》第七条</w:t>
            </w:r>
            <w:r>
              <w:rPr>
                <w:rFonts w:hint="eastAsia" w:ascii="宋体" w:hAnsi="宋体" w:eastAsia="宋体"/>
                <w:b/>
                <w:bCs w:val="0"/>
                <w:sz w:val="21"/>
                <w:szCs w:val="21"/>
              </w:rPr>
              <w:t xml:space="preserve"> </w:t>
            </w:r>
            <w:r>
              <w:rPr>
                <w:rFonts w:ascii="宋体" w:hAnsi="宋体" w:eastAsia="宋体"/>
                <w:b/>
                <w:bCs w:val="0"/>
                <w:sz w:val="21"/>
                <w:szCs w:val="21"/>
              </w:rPr>
              <w:t>从事新化学物质研究、生产、进口和加工使用的企业事业单位，应当遵守本办法的规定，采取有效措施，防范和控制新化学物质的环境风险，并对所造成的损害依法承担责任。</w:t>
            </w:r>
          </w:p>
          <w:p w14:paraId="30F7EA22">
            <w:pPr>
              <w:spacing w:before="20" w:after="20" w:line="300" w:lineRule="auto"/>
              <w:rPr>
                <w:rFonts w:hint="eastAsia" w:ascii="宋体" w:hAnsi="宋体" w:eastAsia="宋体"/>
                <w:b/>
                <w:bCs w:val="0"/>
                <w:sz w:val="21"/>
                <w:szCs w:val="21"/>
              </w:rPr>
            </w:pPr>
            <w:r>
              <w:rPr>
                <w:rFonts w:ascii="宋体" w:hAnsi="宋体" w:eastAsia="宋体"/>
                <w:b/>
                <w:bCs w:val="0"/>
                <w:sz w:val="21"/>
                <w:szCs w:val="21"/>
              </w:rPr>
              <w:t>第二十六条</w:t>
            </w:r>
            <w:r>
              <w:rPr>
                <w:rFonts w:hint="eastAsia" w:ascii="宋体" w:hAnsi="宋体" w:eastAsia="宋体"/>
                <w:b/>
                <w:bCs w:val="0"/>
                <w:sz w:val="21"/>
                <w:szCs w:val="21"/>
              </w:rPr>
              <w:t xml:space="preserve"> </w:t>
            </w:r>
            <w:r>
              <w:rPr>
                <w:rFonts w:ascii="宋体" w:hAnsi="宋体" w:eastAsia="宋体"/>
                <w:b/>
                <w:bCs w:val="0"/>
                <w:sz w:val="21"/>
                <w:szCs w:val="21"/>
              </w:rPr>
              <w:t>登记证应当载明下列事项：（一）登记证类型；（二）申请人及其代理人名称；（三）新化学物质中英文名称或者类名等标识信息；（四）申请用途；（五）申请登记量；（六）活动类型；（七）环境风险控制措施。</w:t>
            </w:r>
          </w:p>
          <w:p w14:paraId="5AEEBFD6">
            <w:pPr>
              <w:spacing w:before="20" w:after="20" w:line="300" w:lineRule="auto"/>
              <w:jc w:val="both"/>
              <w:rPr>
                <w:rFonts w:hint="eastAsia" w:ascii="宋体" w:hAnsi="宋体" w:eastAsia="宋体"/>
                <w:b/>
                <w:bCs w:val="0"/>
                <w:sz w:val="21"/>
                <w:szCs w:val="21"/>
              </w:rPr>
            </w:pPr>
            <w:r>
              <w:rPr>
                <w:rFonts w:ascii="宋体" w:hAnsi="宋体" w:eastAsia="宋体"/>
                <w:b/>
                <w:bCs w:val="0"/>
                <w:sz w:val="21"/>
                <w:szCs w:val="21"/>
              </w:rPr>
              <w:t>对于高危害化学物质以及具有持久性和生物累积性，或者具有持久性和毒性，或者具有生物累积性和毒性的新化学物质，常规登记证还应当载明下列一项或者多项环境管理要求：（一）限定新化学物质排放量或者排放浓度；（二）列入《中国现有化学物质名录》时实施新用途环境管理的要求；（三）提交年度报告；（四）其他环境管理要求。</w:t>
            </w:r>
          </w:p>
          <w:p w14:paraId="6F33BF61">
            <w:pPr>
              <w:spacing w:before="20" w:after="20" w:line="300" w:lineRule="auto"/>
              <w:rPr>
                <w:rFonts w:hint="eastAsia" w:ascii="宋体" w:hAnsi="宋体" w:eastAsia="宋体"/>
                <w:b/>
                <w:bCs w:val="0"/>
                <w:sz w:val="21"/>
                <w:szCs w:val="21"/>
              </w:rPr>
            </w:pPr>
            <w:r>
              <w:rPr>
                <w:rFonts w:ascii="宋体" w:hAnsi="宋体" w:eastAsia="宋体"/>
                <w:b/>
                <w:bCs w:val="0"/>
                <w:sz w:val="21"/>
                <w:szCs w:val="21"/>
              </w:rPr>
              <w:t>第三十条第一款、第二款</w:t>
            </w:r>
            <w:r>
              <w:rPr>
                <w:rFonts w:hint="eastAsia" w:ascii="宋体" w:hAnsi="宋体" w:eastAsia="宋体"/>
                <w:b/>
                <w:bCs w:val="0"/>
                <w:sz w:val="21"/>
                <w:szCs w:val="21"/>
              </w:rPr>
              <w:t xml:space="preserve"> </w:t>
            </w:r>
            <w:r>
              <w:rPr>
                <w:rFonts w:ascii="宋体" w:hAnsi="宋体" w:eastAsia="宋体"/>
                <w:b/>
                <w:bCs w:val="0"/>
                <w:sz w:val="21"/>
                <w:szCs w:val="21"/>
              </w:rPr>
              <w:t>对已取得常规登记证的新化学物质，在根据本办法第四十四条规定列入《中国现有化学物质名录》前，除本办法第二十九条规定的情形外，登记证载明的其他信息发生变化的，登记证持有人应当申请办理登记证变更。</w:t>
            </w:r>
          </w:p>
          <w:p w14:paraId="031B2F41">
            <w:pPr>
              <w:spacing w:before="20" w:after="20" w:line="300" w:lineRule="auto"/>
              <w:rPr>
                <w:rFonts w:hint="eastAsia" w:ascii="宋体" w:hAnsi="宋体" w:eastAsia="宋体"/>
                <w:b/>
                <w:bCs w:val="0"/>
                <w:sz w:val="21"/>
                <w:szCs w:val="21"/>
              </w:rPr>
            </w:pPr>
            <w:r>
              <w:rPr>
                <w:rFonts w:ascii="宋体" w:hAnsi="宋体" w:eastAsia="宋体"/>
                <w:b/>
                <w:bCs w:val="0"/>
                <w:sz w:val="21"/>
                <w:szCs w:val="21"/>
              </w:rPr>
              <w:t>对已取得简易登记证的新化学物质，登记证载明的信息发生变化的，登记证持有人应当申请办理登记证变更。</w:t>
            </w:r>
          </w:p>
        </w:tc>
      </w:tr>
      <w:tr w14:paraId="415D6B2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noWrap w:val="0"/>
            <w:vAlign w:val="center"/>
          </w:tcPr>
          <w:p w14:paraId="26CF41AE">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处罚依据</w:t>
            </w:r>
          </w:p>
        </w:tc>
        <w:tc>
          <w:tcPr>
            <w:tcW w:w="7938" w:type="dxa"/>
            <w:gridSpan w:val="2"/>
            <w:noWrap w:val="0"/>
            <w:vAlign w:val="center"/>
          </w:tcPr>
          <w:p w14:paraId="3138F295">
            <w:pPr>
              <w:spacing w:before="20" w:after="20" w:line="300" w:lineRule="auto"/>
              <w:rPr>
                <w:rFonts w:hint="eastAsia" w:ascii="宋体" w:hAnsi="宋体" w:eastAsia="宋体"/>
                <w:b/>
                <w:bCs w:val="0"/>
                <w:sz w:val="21"/>
                <w:szCs w:val="21"/>
              </w:rPr>
            </w:pPr>
            <w:bookmarkStart w:id="29" w:name="OLE_LINK20"/>
            <w:r>
              <w:rPr>
                <w:rFonts w:hint="eastAsia" w:ascii="宋体" w:hAnsi="宋体" w:eastAsia="宋体"/>
                <w:b/>
                <w:bCs w:val="0"/>
                <w:color w:val="000000"/>
                <w:sz w:val="21"/>
                <w:szCs w:val="21"/>
              </w:rPr>
              <w:t>《新化学物质环境管理登记办法》</w:t>
            </w:r>
            <w:r>
              <w:rPr>
                <w:rFonts w:ascii="宋体" w:hAnsi="宋体" w:eastAsia="宋体"/>
                <w:b/>
                <w:bCs w:val="0"/>
                <w:sz w:val="21"/>
                <w:szCs w:val="21"/>
              </w:rPr>
              <w:t>第四十九条</w:t>
            </w:r>
            <w:bookmarkEnd w:id="29"/>
            <w:r>
              <w:rPr>
                <w:rFonts w:ascii="宋体" w:hAnsi="宋体" w:eastAsia="宋体"/>
                <w:b/>
                <w:bCs w:val="0"/>
                <w:sz w:val="21"/>
                <w:szCs w:val="21"/>
              </w:rPr>
              <w:t>第二项、第三项</w:t>
            </w:r>
            <w:r>
              <w:rPr>
                <w:rFonts w:hint="eastAsia" w:ascii="宋体" w:hAnsi="宋体" w:eastAsia="宋体"/>
                <w:b/>
                <w:bCs w:val="0"/>
                <w:sz w:val="21"/>
                <w:szCs w:val="21"/>
              </w:rPr>
              <w:t xml:space="preserve"> </w:t>
            </w:r>
            <w:r>
              <w:rPr>
                <w:rFonts w:ascii="宋体" w:hAnsi="宋体" w:eastAsia="宋体"/>
                <w:b/>
                <w:bCs w:val="0"/>
                <w:sz w:val="21"/>
                <w:szCs w:val="21"/>
              </w:rPr>
              <w:t>违反本办法规定，有下列行为之一的，由设区的市级以上地方生态环境主管部门责令限期改正，处一万元以上三万元以下的罚款；情节严重的，依法依规开展失信联合惩戒，一年内不再受理其新化学物质环境管理登记申请：</w:t>
            </w:r>
          </w:p>
          <w:p w14:paraId="791A5918">
            <w:pPr>
              <w:spacing w:before="20" w:after="20" w:line="300" w:lineRule="auto"/>
              <w:jc w:val="both"/>
              <w:rPr>
                <w:rFonts w:hint="eastAsia" w:ascii="宋体" w:hAnsi="宋体" w:eastAsia="宋体"/>
                <w:b/>
                <w:bCs w:val="0"/>
                <w:sz w:val="21"/>
                <w:szCs w:val="21"/>
              </w:rPr>
            </w:pPr>
            <w:r>
              <w:rPr>
                <w:rFonts w:ascii="宋体" w:hAnsi="宋体" w:eastAsia="宋体"/>
                <w:b/>
                <w:bCs w:val="0"/>
                <w:sz w:val="21"/>
                <w:szCs w:val="21"/>
              </w:rPr>
              <w:t>（二）未按照登记证的规定生产、进口或者加工使用新化学物质的；</w:t>
            </w:r>
          </w:p>
          <w:p w14:paraId="79DB0967">
            <w:pPr>
              <w:spacing w:before="20" w:after="20" w:line="300" w:lineRule="auto"/>
              <w:rPr>
                <w:rFonts w:hint="eastAsia" w:ascii="宋体" w:hAnsi="宋体" w:eastAsia="宋体"/>
                <w:b/>
                <w:bCs w:val="0"/>
                <w:sz w:val="21"/>
                <w:szCs w:val="21"/>
              </w:rPr>
            </w:pPr>
            <w:r>
              <w:rPr>
                <w:rFonts w:ascii="宋体" w:hAnsi="宋体" w:eastAsia="宋体"/>
                <w:b/>
                <w:bCs w:val="0"/>
                <w:sz w:val="21"/>
                <w:szCs w:val="21"/>
              </w:rPr>
              <w:t>（三）未办理变更登记，或者不按照变更内容生产或者进口新化学物质的。</w:t>
            </w:r>
          </w:p>
        </w:tc>
      </w:tr>
      <w:tr w14:paraId="0B3AC0F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noWrap w:val="0"/>
            <w:vAlign w:val="center"/>
          </w:tcPr>
          <w:p w14:paraId="75E9D3F7">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裁量因素</w:t>
            </w:r>
          </w:p>
        </w:tc>
        <w:tc>
          <w:tcPr>
            <w:tcW w:w="6804" w:type="dxa"/>
            <w:noWrap w:val="0"/>
            <w:vAlign w:val="center"/>
          </w:tcPr>
          <w:p w14:paraId="4967320A">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裁量因子</w:t>
            </w:r>
          </w:p>
        </w:tc>
        <w:tc>
          <w:tcPr>
            <w:tcW w:w="1134" w:type="dxa"/>
            <w:noWrap w:val="0"/>
            <w:vAlign w:val="center"/>
          </w:tcPr>
          <w:p w14:paraId="3A5B5CBC">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裁量等级</w:t>
            </w:r>
          </w:p>
        </w:tc>
      </w:tr>
      <w:tr w14:paraId="2A05D27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restart"/>
            <w:noWrap w:val="0"/>
            <w:vAlign w:val="center"/>
          </w:tcPr>
          <w:p w14:paraId="051D6175">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涉及化学物质数量</w:t>
            </w:r>
          </w:p>
        </w:tc>
        <w:tc>
          <w:tcPr>
            <w:tcW w:w="6804" w:type="dxa"/>
            <w:noWrap w:val="0"/>
            <w:vAlign w:val="center"/>
          </w:tcPr>
          <w:p w14:paraId="34C88A5C">
            <w:pPr>
              <w:spacing w:before="20" w:after="20" w:line="300" w:lineRule="auto"/>
              <w:rPr>
                <w:rFonts w:hint="eastAsia" w:ascii="宋体" w:hAnsi="宋体" w:eastAsia="宋体"/>
                <w:b/>
                <w:bCs w:val="0"/>
                <w:sz w:val="21"/>
                <w:szCs w:val="21"/>
              </w:rPr>
            </w:pPr>
            <w:r>
              <w:rPr>
                <w:rFonts w:ascii="宋体" w:hAnsi="宋体" w:eastAsia="宋体"/>
                <w:b/>
                <w:bCs w:val="0"/>
                <w:sz w:val="21"/>
                <w:szCs w:val="21"/>
              </w:rPr>
              <w:t>不足1吨</w:t>
            </w:r>
          </w:p>
        </w:tc>
        <w:tc>
          <w:tcPr>
            <w:tcW w:w="1134" w:type="dxa"/>
            <w:noWrap w:val="0"/>
            <w:vAlign w:val="center"/>
          </w:tcPr>
          <w:p w14:paraId="2236EB01">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1</w:t>
            </w:r>
          </w:p>
        </w:tc>
      </w:tr>
      <w:tr w14:paraId="3902322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top"/>
          </w:tcPr>
          <w:p w14:paraId="1FC29C8C">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p>
        </w:tc>
        <w:tc>
          <w:tcPr>
            <w:tcW w:w="6804" w:type="dxa"/>
            <w:noWrap w:val="0"/>
            <w:vAlign w:val="center"/>
          </w:tcPr>
          <w:p w14:paraId="4EE9C987">
            <w:pPr>
              <w:spacing w:before="20" w:after="20" w:line="300" w:lineRule="auto"/>
              <w:rPr>
                <w:rFonts w:hint="eastAsia" w:ascii="宋体" w:hAnsi="宋体" w:eastAsia="宋体"/>
                <w:b/>
                <w:bCs w:val="0"/>
                <w:sz w:val="21"/>
                <w:szCs w:val="21"/>
              </w:rPr>
            </w:pPr>
            <w:r>
              <w:rPr>
                <w:rFonts w:ascii="宋体" w:hAnsi="宋体" w:eastAsia="宋体"/>
                <w:b/>
                <w:bCs w:val="0"/>
                <w:sz w:val="21"/>
                <w:szCs w:val="21"/>
              </w:rPr>
              <w:t>1吨以上不足10吨</w:t>
            </w:r>
          </w:p>
        </w:tc>
        <w:tc>
          <w:tcPr>
            <w:tcW w:w="1134" w:type="dxa"/>
            <w:noWrap w:val="0"/>
            <w:vAlign w:val="center"/>
          </w:tcPr>
          <w:p w14:paraId="7683F303">
            <w:pPr>
              <w:spacing w:before="20" w:after="20" w:line="300" w:lineRule="auto"/>
              <w:jc w:val="center"/>
              <w:rPr>
                <w:rFonts w:hint="eastAsia" w:ascii="宋体" w:hAnsi="宋体" w:eastAsia="宋体"/>
                <w:b/>
                <w:bCs w:val="0"/>
                <w:sz w:val="21"/>
                <w:szCs w:val="21"/>
              </w:rPr>
            </w:pPr>
            <w:r>
              <w:rPr>
                <w:rFonts w:hint="eastAsia" w:ascii="宋体" w:hAnsi="宋体" w:eastAsia="宋体"/>
                <w:b/>
                <w:bCs w:val="0"/>
                <w:sz w:val="21"/>
                <w:szCs w:val="21"/>
              </w:rPr>
              <w:t>2</w:t>
            </w:r>
          </w:p>
        </w:tc>
      </w:tr>
      <w:tr w14:paraId="7D48609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top"/>
          </w:tcPr>
          <w:p w14:paraId="3A2652BB">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p>
        </w:tc>
        <w:tc>
          <w:tcPr>
            <w:tcW w:w="6804" w:type="dxa"/>
            <w:noWrap w:val="0"/>
            <w:vAlign w:val="center"/>
          </w:tcPr>
          <w:p w14:paraId="2411F4AD">
            <w:pPr>
              <w:spacing w:before="20" w:after="20" w:line="300" w:lineRule="auto"/>
              <w:rPr>
                <w:rFonts w:hint="eastAsia" w:ascii="宋体" w:hAnsi="宋体" w:eastAsia="宋体"/>
                <w:b/>
                <w:bCs w:val="0"/>
                <w:sz w:val="21"/>
                <w:szCs w:val="21"/>
              </w:rPr>
            </w:pPr>
            <w:r>
              <w:rPr>
                <w:rFonts w:ascii="宋体" w:hAnsi="宋体" w:eastAsia="宋体"/>
                <w:b/>
                <w:bCs w:val="0"/>
                <w:sz w:val="21"/>
                <w:szCs w:val="21"/>
              </w:rPr>
              <w:t>1</w:t>
            </w:r>
            <w:r>
              <w:rPr>
                <w:rFonts w:hint="eastAsia" w:ascii="宋体" w:hAnsi="宋体" w:eastAsia="宋体"/>
                <w:b/>
                <w:bCs w:val="0"/>
                <w:sz w:val="21"/>
                <w:szCs w:val="21"/>
              </w:rPr>
              <w:t>0</w:t>
            </w:r>
            <w:r>
              <w:rPr>
                <w:rFonts w:ascii="宋体" w:hAnsi="宋体" w:eastAsia="宋体"/>
                <w:b/>
                <w:bCs w:val="0"/>
                <w:sz w:val="21"/>
                <w:szCs w:val="21"/>
              </w:rPr>
              <w:t>吨以上</w:t>
            </w:r>
          </w:p>
        </w:tc>
        <w:tc>
          <w:tcPr>
            <w:tcW w:w="1134" w:type="dxa"/>
            <w:noWrap w:val="0"/>
            <w:vAlign w:val="center"/>
          </w:tcPr>
          <w:p w14:paraId="1C6CE8F9">
            <w:pPr>
              <w:spacing w:before="20" w:after="20" w:line="300" w:lineRule="auto"/>
              <w:jc w:val="center"/>
              <w:rPr>
                <w:rFonts w:hint="eastAsia" w:ascii="宋体" w:hAnsi="宋体" w:eastAsia="宋体"/>
                <w:b/>
                <w:bCs w:val="0"/>
                <w:sz w:val="21"/>
                <w:szCs w:val="21"/>
              </w:rPr>
            </w:pPr>
            <w:r>
              <w:rPr>
                <w:rFonts w:hint="eastAsia" w:ascii="宋体" w:hAnsi="宋体" w:eastAsia="宋体"/>
                <w:b/>
                <w:bCs w:val="0"/>
                <w:sz w:val="21"/>
                <w:szCs w:val="21"/>
              </w:rPr>
              <w:t>3</w:t>
            </w:r>
          </w:p>
        </w:tc>
      </w:tr>
      <w:tr w14:paraId="136BC7A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restart"/>
            <w:noWrap w:val="0"/>
            <w:vAlign w:val="center"/>
          </w:tcPr>
          <w:p w14:paraId="2DFF5C66">
            <w:pPr>
              <w:overflowPunct w:val="0"/>
              <w:autoSpaceDE w:val="0"/>
              <w:autoSpaceDN w:val="0"/>
              <w:adjustRightInd w:val="0"/>
              <w:snapToGrid w:val="0"/>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违法行为持续时间</w:t>
            </w:r>
          </w:p>
        </w:tc>
        <w:tc>
          <w:tcPr>
            <w:tcW w:w="6804" w:type="dxa"/>
            <w:noWrap w:val="0"/>
            <w:vAlign w:val="center"/>
          </w:tcPr>
          <w:p w14:paraId="49DA5EFB">
            <w:pPr>
              <w:spacing w:before="20" w:after="20" w:line="300" w:lineRule="auto"/>
              <w:rPr>
                <w:rFonts w:hint="eastAsia" w:ascii="宋体" w:hAnsi="宋体" w:eastAsia="宋体"/>
                <w:b/>
                <w:bCs w:val="0"/>
                <w:sz w:val="21"/>
                <w:szCs w:val="21"/>
              </w:rPr>
            </w:pPr>
            <w:r>
              <w:rPr>
                <w:rFonts w:ascii="宋体" w:hAnsi="宋体" w:eastAsia="宋体"/>
                <w:b/>
                <w:bCs w:val="0"/>
                <w:sz w:val="21"/>
                <w:szCs w:val="21"/>
              </w:rPr>
              <w:t>不足3个月</w:t>
            </w:r>
          </w:p>
        </w:tc>
        <w:tc>
          <w:tcPr>
            <w:tcW w:w="1134" w:type="dxa"/>
            <w:noWrap w:val="0"/>
            <w:vAlign w:val="center"/>
          </w:tcPr>
          <w:p w14:paraId="5A2D4205">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1</w:t>
            </w:r>
          </w:p>
        </w:tc>
      </w:tr>
      <w:tr w14:paraId="02D8155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top"/>
          </w:tcPr>
          <w:p w14:paraId="589C4766">
            <w:pPr>
              <w:spacing w:before="20" w:after="20" w:line="300" w:lineRule="auto"/>
              <w:rPr>
                <w:rFonts w:hint="eastAsia" w:ascii="宋体" w:hAnsi="宋体" w:eastAsia="宋体"/>
                <w:b/>
                <w:bCs w:val="0"/>
                <w:sz w:val="21"/>
                <w:szCs w:val="21"/>
              </w:rPr>
            </w:pPr>
          </w:p>
        </w:tc>
        <w:tc>
          <w:tcPr>
            <w:tcW w:w="6804" w:type="dxa"/>
            <w:noWrap w:val="0"/>
            <w:vAlign w:val="center"/>
          </w:tcPr>
          <w:p w14:paraId="0B3B310E">
            <w:pPr>
              <w:spacing w:before="20" w:after="20" w:line="300" w:lineRule="auto"/>
              <w:rPr>
                <w:rFonts w:hint="eastAsia" w:ascii="宋体" w:hAnsi="宋体" w:eastAsia="宋体"/>
                <w:b/>
                <w:bCs w:val="0"/>
                <w:sz w:val="21"/>
                <w:szCs w:val="21"/>
              </w:rPr>
            </w:pPr>
            <w:r>
              <w:rPr>
                <w:rFonts w:ascii="宋体" w:hAnsi="宋体" w:eastAsia="宋体"/>
                <w:b/>
                <w:bCs w:val="0"/>
                <w:sz w:val="21"/>
                <w:szCs w:val="21"/>
              </w:rPr>
              <w:t>3个月以上不足6个月</w:t>
            </w:r>
          </w:p>
        </w:tc>
        <w:tc>
          <w:tcPr>
            <w:tcW w:w="1134" w:type="dxa"/>
            <w:noWrap w:val="0"/>
            <w:vAlign w:val="center"/>
          </w:tcPr>
          <w:p w14:paraId="38089E94">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2</w:t>
            </w:r>
          </w:p>
        </w:tc>
      </w:tr>
      <w:tr w14:paraId="46DB76E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top"/>
          </w:tcPr>
          <w:p w14:paraId="7A1CB993">
            <w:pPr>
              <w:spacing w:before="20" w:after="20" w:line="300" w:lineRule="auto"/>
              <w:rPr>
                <w:rFonts w:hint="eastAsia" w:ascii="宋体" w:hAnsi="宋体" w:eastAsia="宋体"/>
                <w:b/>
                <w:bCs w:val="0"/>
                <w:sz w:val="21"/>
                <w:szCs w:val="21"/>
              </w:rPr>
            </w:pPr>
          </w:p>
        </w:tc>
        <w:tc>
          <w:tcPr>
            <w:tcW w:w="6804" w:type="dxa"/>
            <w:noWrap w:val="0"/>
            <w:vAlign w:val="center"/>
          </w:tcPr>
          <w:p w14:paraId="227A63CC">
            <w:pPr>
              <w:spacing w:before="20" w:after="20" w:line="300" w:lineRule="auto"/>
              <w:rPr>
                <w:rFonts w:hint="eastAsia" w:ascii="宋体" w:hAnsi="宋体" w:eastAsia="宋体"/>
                <w:b/>
                <w:bCs w:val="0"/>
                <w:sz w:val="21"/>
                <w:szCs w:val="21"/>
              </w:rPr>
            </w:pPr>
            <w:r>
              <w:rPr>
                <w:rFonts w:ascii="宋体" w:hAnsi="宋体" w:eastAsia="宋体"/>
                <w:b/>
                <w:bCs w:val="0"/>
                <w:sz w:val="21"/>
                <w:szCs w:val="21"/>
              </w:rPr>
              <w:t>6个月以上不足1年</w:t>
            </w:r>
          </w:p>
        </w:tc>
        <w:tc>
          <w:tcPr>
            <w:tcW w:w="1134" w:type="dxa"/>
            <w:noWrap w:val="0"/>
            <w:vAlign w:val="center"/>
          </w:tcPr>
          <w:p w14:paraId="3903678A">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3</w:t>
            </w:r>
          </w:p>
        </w:tc>
      </w:tr>
      <w:tr w14:paraId="3BA64AC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top"/>
          </w:tcPr>
          <w:p w14:paraId="4102BAB5">
            <w:pPr>
              <w:spacing w:before="20" w:after="20" w:line="300" w:lineRule="auto"/>
              <w:rPr>
                <w:rFonts w:hint="eastAsia" w:ascii="宋体" w:hAnsi="宋体" w:eastAsia="宋体"/>
                <w:b/>
                <w:bCs w:val="0"/>
                <w:sz w:val="21"/>
                <w:szCs w:val="21"/>
              </w:rPr>
            </w:pPr>
          </w:p>
        </w:tc>
        <w:tc>
          <w:tcPr>
            <w:tcW w:w="6804" w:type="dxa"/>
            <w:noWrap w:val="0"/>
            <w:vAlign w:val="center"/>
          </w:tcPr>
          <w:p w14:paraId="186E93B6">
            <w:pPr>
              <w:spacing w:before="20" w:after="20" w:line="300" w:lineRule="auto"/>
              <w:rPr>
                <w:rFonts w:hint="eastAsia" w:ascii="宋体" w:hAnsi="宋体" w:eastAsia="宋体"/>
                <w:b/>
                <w:bCs w:val="0"/>
                <w:sz w:val="21"/>
                <w:szCs w:val="21"/>
              </w:rPr>
            </w:pPr>
            <w:r>
              <w:rPr>
                <w:rFonts w:ascii="宋体" w:hAnsi="宋体" w:eastAsia="宋体"/>
                <w:b/>
                <w:bCs w:val="0"/>
                <w:sz w:val="21"/>
                <w:szCs w:val="21"/>
              </w:rPr>
              <w:t>1年以上不足2年</w:t>
            </w:r>
          </w:p>
        </w:tc>
        <w:tc>
          <w:tcPr>
            <w:tcW w:w="1134" w:type="dxa"/>
            <w:noWrap w:val="0"/>
            <w:vAlign w:val="center"/>
          </w:tcPr>
          <w:p w14:paraId="43A0053E">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4</w:t>
            </w:r>
          </w:p>
        </w:tc>
      </w:tr>
      <w:tr w14:paraId="7C73428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top"/>
          </w:tcPr>
          <w:p w14:paraId="157ED9ED">
            <w:pPr>
              <w:spacing w:before="20" w:after="20" w:line="300" w:lineRule="auto"/>
              <w:rPr>
                <w:rFonts w:hint="eastAsia" w:ascii="宋体" w:hAnsi="宋体" w:eastAsia="宋体"/>
                <w:b/>
                <w:bCs w:val="0"/>
                <w:sz w:val="21"/>
                <w:szCs w:val="21"/>
              </w:rPr>
            </w:pPr>
          </w:p>
        </w:tc>
        <w:tc>
          <w:tcPr>
            <w:tcW w:w="6804" w:type="dxa"/>
            <w:noWrap w:val="0"/>
            <w:vAlign w:val="center"/>
          </w:tcPr>
          <w:p w14:paraId="48724B56">
            <w:pPr>
              <w:spacing w:before="20" w:after="20" w:line="300" w:lineRule="auto"/>
              <w:rPr>
                <w:rFonts w:hint="eastAsia" w:ascii="宋体" w:hAnsi="宋体" w:eastAsia="宋体"/>
                <w:b/>
                <w:bCs w:val="0"/>
                <w:sz w:val="21"/>
                <w:szCs w:val="21"/>
              </w:rPr>
            </w:pPr>
            <w:r>
              <w:rPr>
                <w:rFonts w:ascii="宋体" w:hAnsi="宋体" w:eastAsia="宋体"/>
                <w:b/>
                <w:bCs w:val="0"/>
                <w:sz w:val="21"/>
                <w:szCs w:val="21"/>
              </w:rPr>
              <w:t>2年以上</w:t>
            </w:r>
          </w:p>
        </w:tc>
        <w:tc>
          <w:tcPr>
            <w:tcW w:w="1134" w:type="dxa"/>
            <w:noWrap w:val="0"/>
            <w:vAlign w:val="center"/>
          </w:tcPr>
          <w:p w14:paraId="15CC9A8D">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5</w:t>
            </w:r>
          </w:p>
        </w:tc>
      </w:tr>
    </w:tbl>
    <w:p w14:paraId="4F2909E0">
      <w:pPr>
        <w:spacing w:before="40" w:after="40" w:line="400" w:lineRule="auto"/>
        <w:jc w:val="both"/>
        <w:rPr>
          <w:rFonts w:hint="eastAsia" w:ascii="Times New Roman" w:hAnsi="Times New Roman" w:eastAsia="黑体"/>
          <w:b/>
          <w:sz w:val="24"/>
          <w:lang w:eastAsia="zh-CN"/>
        </w:rPr>
      </w:pPr>
      <w:r>
        <w:rPr>
          <w:rFonts w:hint="eastAsia" w:ascii="黑体" w:hAnsi="黑体" w:eastAsia="黑体"/>
          <w:b/>
          <w:sz w:val="24"/>
        </w:rPr>
        <w:t>３</w:t>
      </w:r>
      <w:r>
        <w:rPr>
          <w:rFonts w:hint="eastAsia" w:ascii="Times New Roman" w:hAnsi="Times New Roman" w:eastAsia="黑体"/>
          <w:b/>
          <w:sz w:val="24"/>
        </w:rPr>
        <w:t>.</w:t>
      </w:r>
      <w:r>
        <w:rPr>
          <w:rFonts w:hint="eastAsia"/>
        </w:rPr>
        <w:t xml:space="preserve"> </w:t>
      </w:r>
      <w:r>
        <w:rPr>
          <w:rFonts w:ascii="Times New Roman" w:hAnsi="Times New Roman" w:eastAsia="黑体"/>
          <w:b/>
          <w:sz w:val="24"/>
        </w:rPr>
        <w:t>未落实相关环境风险控制措施或者环境管理要求，未按照规定公开相关信息，未向下游用户传递规定信息或者拒绝提供新化学物质的相关信息，未建立新化学物质活动等情况记录制度或者未记录、保存相关资料，以及未落实《中国现有化学物质名录》列明的环境管理要求的行为</w:t>
      </w:r>
      <w:r>
        <w:rPr>
          <w:rFonts w:hint="eastAsia" w:ascii="Times New Roman" w:hAnsi="Times New Roman" w:eastAsia="黑体"/>
          <w:b/>
          <w:sz w:val="24"/>
          <w:lang w:eastAsia="zh-CN"/>
        </w:rPr>
        <w:t>（新增）</w:t>
      </w:r>
    </w:p>
    <w:tbl>
      <w:tblPr>
        <w:tblStyle w:val="8"/>
        <w:tblW w:w="9064"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 w:type="dxa"/>
          <w:bottom w:w="0" w:type="dxa"/>
          <w:right w:w="10" w:type="dxa"/>
        </w:tblCellMar>
      </w:tblPr>
      <w:tblGrid>
        <w:gridCol w:w="1126"/>
        <w:gridCol w:w="6804"/>
        <w:gridCol w:w="1134"/>
      </w:tblGrid>
      <w:tr w14:paraId="54C81FD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noWrap w:val="0"/>
            <w:vAlign w:val="center"/>
          </w:tcPr>
          <w:p w14:paraId="5D7D2E1E">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违反条款</w:t>
            </w:r>
          </w:p>
        </w:tc>
        <w:tc>
          <w:tcPr>
            <w:tcW w:w="7938" w:type="dxa"/>
            <w:gridSpan w:val="2"/>
            <w:noWrap w:val="0"/>
            <w:vAlign w:val="center"/>
          </w:tcPr>
          <w:p w14:paraId="5CB908AE">
            <w:pPr>
              <w:spacing w:before="20" w:after="20" w:line="300" w:lineRule="auto"/>
              <w:rPr>
                <w:rFonts w:hint="eastAsia" w:ascii="宋体" w:hAnsi="宋体" w:eastAsia="宋体"/>
                <w:b/>
                <w:bCs/>
                <w:sz w:val="21"/>
                <w:szCs w:val="21"/>
              </w:rPr>
            </w:pPr>
            <w:r>
              <w:rPr>
                <w:rFonts w:ascii="宋体" w:hAnsi="宋体" w:eastAsia="宋体"/>
                <w:b/>
                <w:bCs/>
                <w:sz w:val="21"/>
                <w:szCs w:val="21"/>
              </w:rPr>
              <w:t>《新化学物质环境管理登记办法》第三十八条</w:t>
            </w:r>
            <w:r>
              <w:rPr>
                <w:rFonts w:hint="eastAsia" w:ascii="宋体" w:hAnsi="宋体" w:eastAsia="宋体"/>
                <w:b/>
                <w:bCs/>
                <w:sz w:val="21"/>
                <w:szCs w:val="21"/>
              </w:rPr>
              <w:t xml:space="preserve"> </w:t>
            </w:r>
            <w:r>
              <w:rPr>
                <w:rFonts w:ascii="宋体" w:hAnsi="宋体" w:eastAsia="宋体"/>
                <w:b/>
                <w:bCs/>
                <w:sz w:val="21"/>
                <w:szCs w:val="21"/>
              </w:rPr>
              <w:t>新化学物质的生产者、进口者、加工使用者应当向下游用户传递下列信息：（一）登记证号或者备案回执号；（二）新化学物质申请用途；（三）新化学物质环境和健康危害特性及环境风险控制措施；（四）新化学物质环境管理要求。</w:t>
            </w:r>
          </w:p>
          <w:p w14:paraId="72B0CD8A">
            <w:pPr>
              <w:spacing w:before="20" w:after="20" w:line="300" w:lineRule="auto"/>
              <w:jc w:val="both"/>
              <w:rPr>
                <w:rFonts w:hint="eastAsia" w:ascii="宋体" w:hAnsi="宋体" w:eastAsia="宋体"/>
                <w:b/>
                <w:bCs/>
                <w:sz w:val="21"/>
                <w:szCs w:val="21"/>
              </w:rPr>
            </w:pPr>
            <w:r>
              <w:rPr>
                <w:rFonts w:ascii="宋体" w:hAnsi="宋体" w:eastAsia="宋体"/>
                <w:b/>
                <w:bCs/>
                <w:sz w:val="21"/>
                <w:szCs w:val="21"/>
              </w:rPr>
              <w:t>新化学物质的加工使用者可以要求供应商提供前款规定的新化学物质的相关信息。</w:t>
            </w:r>
          </w:p>
          <w:p w14:paraId="5BBCF3D4">
            <w:pPr>
              <w:spacing w:before="20" w:after="20" w:line="300" w:lineRule="auto"/>
              <w:rPr>
                <w:rFonts w:hint="eastAsia" w:ascii="宋体" w:hAnsi="宋体" w:eastAsia="宋体"/>
                <w:b/>
                <w:bCs/>
                <w:sz w:val="21"/>
                <w:szCs w:val="21"/>
              </w:rPr>
            </w:pPr>
            <w:r>
              <w:rPr>
                <w:rFonts w:ascii="宋体" w:hAnsi="宋体" w:eastAsia="宋体"/>
                <w:b/>
                <w:bCs/>
                <w:sz w:val="21"/>
                <w:szCs w:val="21"/>
              </w:rPr>
              <w:t>第三十九条</w:t>
            </w:r>
            <w:r>
              <w:rPr>
                <w:rFonts w:hint="eastAsia" w:ascii="宋体" w:hAnsi="宋体" w:eastAsia="宋体"/>
                <w:b/>
                <w:bCs/>
                <w:sz w:val="21"/>
                <w:szCs w:val="21"/>
              </w:rPr>
              <w:t xml:space="preserve"> </w:t>
            </w:r>
            <w:r>
              <w:rPr>
                <w:rFonts w:ascii="宋体" w:hAnsi="宋体" w:eastAsia="宋体"/>
                <w:b/>
                <w:bCs/>
                <w:sz w:val="21"/>
                <w:szCs w:val="21"/>
              </w:rPr>
              <w:t>新化学物质的研究者、生产者、进口者和加工使用者应当建立新化学物质活动情况记录制度，如实记录新化学物质活动时间、数量、用途，以及落实环境风险控制措施和环境管理要求等情况。</w:t>
            </w:r>
          </w:p>
          <w:p w14:paraId="53F3D172">
            <w:pPr>
              <w:spacing w:before="20" w:after="20" w:line="300" w:lineRule="auto"/>
              <w:jc w:val="both"/>
              <w:rPr>
                <w:rFonts w:hint="eastAsia" w:ascii="宋体" w:hAnsi="宋体" w:eastAsia="宋体"/>
                <w:b/>
                <w:bCs/>
                <w:sz w:val="21"/>
                <w:szCs w:val="21"/>
              </w:rPr>
            </w:pPr>
            <w:r>
              <w:rPr>
                <w:rFonts w:ascii="宋体" w:hAnsi="宋体" w:eastAsia="宋体"/>
                <w:b/>
                <w:bCs/>
                <w:sz w:val="21"/>
                <w:szCs w:val="21"/>
              </w:rPr>
              <w:t>常规登记和简易登记材料以及新化学物质活动情况记录等相关资料应当至少保存十年。备案材料以及新化学物质活动情况记录等相关资料应当至少保存三年。</w:t>
            </w:r>
          </w:p>
          <w:p w14:paraId="6FB2BA52">
            <w:pPr>
              <w:spacing w:before="20" w:after="20" w:line="300" w:lineRule="auto"/>
              <w:rPr>
                <w:rFonts w:hint="eastAsia" w:ascii="宋体" w:hAnsi="宋体" w:eastAsia="宋体"/>
                <w:b/>
                <w:bCs/>
                <w:sz w:val="21"/>
                <w:szCs w:val="21"/>
              </w:rPr>
            </w:pPr>
            <w:r>
              <w:rPr>
                <w:rFonts w:ascii="宋体" w:hAnsi="宋体" w:eastAsia="宋体"/>
                <w:b/>
                <w:bCs/>
                <w:sz w:val="21"/>
                <w:szCs w:val="21"/>
              </w:rPr>
              <w:t>第四十条</w:t>
            </w:r>
            <w:r>
              <w:rPr>
                <w:rFonts w:hint="eastAsia" w:ascii="宋体" w:hAnsi="宋体" w:eastAsia="宋体"/>
                <w:b/>
                <w:bCs/>
                <w:sz w:val="21"/>
                <w:szCs w:val="21"/>
              </w:rPr>
              <w:t xml:space="preserve"> </w:t>
            </w:r>
            <w:r>
              <w:rPr>
                <w:rFonts w:ascii="宋体" w:hAnsi="宋体" w:eastAsia="宋体"/>
                <w:b/>
                <w:bCs/>
                <w:sz w:val="21"/>
                <w:szCs w:val="21"/>
              </w:rPr>
              <w:t>常规登记新化学物质的生产者和加工使用者，应当落实环境风险控制措施和环境管理要求，并通过其官方网站或者其他便于公众知晓的方式公开环境风险控制措施和环境管理要求落实情况。</w:t>
            </w:r>
          </w:p>
          <w:p w14:paraId="5C0D9A42">
            <w:pPr>
              <w:spacing w:before="20" w:after="20" w:line="300" w:lineRule="auto"/>
              <w:rPr>
                <w:rFonts w:hint="eastAsia" w:ascii="宋体" w:hAnsi="宋体" w:eastAsia="宋体"/>
                <w:b/>
                <w:bCs/>
                <w:sz w:val="21"/>
                <w:szCs w:val="21"/>
              </w:rPr>
            </w:pPr>
            <w:r>
              <w:rPr>
                <w:rFonts w:ascii="宋体" w:hAnsi="宋体" w:eastAsia="宋体"/>
                <w:b/>
                <w:bCs/>
                <w:sz w:val="21"/>
                <w:szCs w:val="21"/>
              </w:rPr>
              <w:t>第四十四条第三款</w:t>
            </w:r>
            <w:r>
              <w:rPr>
                <w:rFonts w:hint="eastAsia" w:ascii="宋体" w:hAnsi="宋体" w:eastAsia="宋体"/>
                <w:b/>
                <w:bCs/>
                <w:sz w:val="21"/>
                <w:szCs w:val="21"/>
              </w:rPr>
              <w:t xml:space="preserve"> </w:t>
            </w:r>
            <w:r>
              <w:rPr>
                <w:rFonts w:ascii="宋体" w:hAnsi="宋体" w:eastAsia="宋体"/>
                <w:b/>
                <w:bCs/>
                <w:sz w:val="21"/>
                <w:szCs w:val="21"/>
              </w:rPr>
              <w:t>对高危害化学物质以及具有持久性和生物累积性，或者持久性和毒性，或者生物累积性和毒性的新化学物质，列入《中国现有化学物质名录》时，应当规定除年度报告之外的环境管理要求。</w:t>
            </w:r>
          </w:p>
        </w:tc>
      </w:tr>
      <w:tr w14:paraId="3CA6B11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noWrap w:val="0"/>
            <w:vAlign w:val="center"/>
          </w:tcPr>
          <w:p w14:paraId="7E88D80B">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处罚依据</w:t>
            </w:r>
          </w:p>
        </w:tc>
        <w:tc>
          <w:tcPr>
            <w:tcW w:w="7938" w:type="dxa"/>
            <w:gridSpan w:val="2"/>
            <w:noWrap w:val="0"/>
            <w:vAlign w:val="center"/>
          </w:tcPr>
          <w:p w14:paraId="16F27281">
            <w:pPr>
              <w:spacing w:before="20" w:after="20" w:line="300" w:lineRule="auto"/>
              <w:rPr>
                <w:rFonts w:hint="eastAsia" w:ascii="宋体" w:hAnsi="宋体" w:eastAsia="宋体"/>
                <w:b/>
                <w:bCs/>
                <w:sz w:val="21"/>
                <w:szCs w:val="21"/>
              </w:rPr>
            </w:pPr>
            <w:r>
              <w:rPr>
                <w:rFonts w:ascii="宋体" w:hAnsi="宋体" w:eastAsia="宋体"/>
                <w:b/>
                <w:bCs/>
                <w:sz w:val="21"/>
                <w:szCs w:val="21"/>
              </w:rPr>
              <w:t>第四十九条第四项至第七项</w:t>
            </w:r>
            <w:r>
              <w:rPr>
                <w:rFonts w:hint="eastAsia" w:ascii="宋体" w:hAnsi="宋体" w:eastAsia="宋体"/>
                <w:b/>
                <w:bCs/>
                <w:sz w:val="21"/>
                <w:szCs w:val="21"/>
              </w:rPr>
              <w:t xml:space="preserve"> </w:t>
            </w:r>
            <w:r>
              <w:rPr>
                <w:rFonts w:ascii="宋体" w:hAnsi="宋体" w:eastAsia="宋体"/>
                <w:b/>
                <w:bCs/>
                <w:sz w:val="21"/>
                <w:szCs w:val="21"/>
              </w:rPr>
              <w:t>违反本办法规定，有下列行为之一的，由设区的市级以上地方生态环境主管部门责令限期改正，处一万元以上三万元以下的罚款；情节严重的，依法依规开展失信联合惩戒，一年内不再受理其新化学物质环境管理登记申请：</w:t>
            </w:r>
          </w:p>
          <w:p w14:paraId="1EB86D46">
            <w:pPr>
              <w:spacing w:before="20" w:after="20" w:line="300" w:lineRule="auto"/>
              <w:jc w:val="both"/>
              <w:rPr>
                <w:rFonts w:hint="eastAsia" w:ascii="宋体" w:hAnsi="宋体" w:eastAsia="宋体"/>
                <w:b/>
                <w:bCs/>
                <w:sz w:val="21"/>
                <w:szCs w:val="21"/>
              </w:rPr>
            </w:pPr>
            <w:r>
              <w:rPr>
                <w:rFonts w:ascii="宋体" w:hAnsi="宋体" w:eastAsia="宋体"/>
                <w:b/>
                <w:bCs/>
                <w:sz w:val="21"/>
                <w:szCs w:val="21"/>
              </w:rPr>
              <w:t>（四）未落实相关环境风险控制措施或者环境管理要求的，或者未按照规定公开相关信息的；</w:t>
            </w:r>
          </w:p>
          <w:p w14:paraId="498EC294">
            <w:pPr>
              <w:spacing w:before="20" w:after="20" w:line="300" w:lineRule="auto"/>
              <w:jc w:val="both"/>
              <w:rPr>
                <w:rFonts w:hint="eastAsia" w:ascii="宋体" w:hAnsi="宋体" w:eastAsia="宋体"/>
                <w:b/>
                <w:bCs/>
                <w:sz w:val="21"/>
                <w:szCs w:val="21"/>
              </w:rPr>
            </w:pPr>
            <w:r>
              <w:rPr>
                <w:rFonts w:ascii="宋体" w:hAnsi="宋体" w:eastAsia="宋体"/>
                <w:b/>
                <w:bCs/>
                <w:sz w:val="21"/>
                <w:szCs w:val="21"/>
              </w:rPr>
              <w:t>（五）未向下游用户传递规定信息的，或者拒绝提供新化学物质的相关信息的；</w:t>
            </w:r>
          </w:p>
          <w:p w14:paraId="2FCA8D31">
            <w:pPr>
              <w:spacing w:before="20" w:after="20" w:line="300" w:lineRule="auto"/>
              <w:jc w:val="both"/>
              <w:rPr>
                <w:rFonts w:hint="eastAsia" w:ascii="宋体" w:hAnsi="宋体" w:eastAsia="宋体"/>
                <w:b/>
                <w:bCs/>
                <w:sz w:val="21"/>
                <w:szCs w:val="21"/>
              </w:rPr>
            </w:pPr>
            <w:r>
              <w:rPr>
                <w:rFonts w:ascii="宋体" w:hAnsi="宋体" w:eastAsia="宋体"/>
                <w:b/>
                <w:bCs/>
                <w:sz w:val="21"/>
                <w:szCs w:val="21"/>
              </w:rPr>
              <w:t>（六）未建立新化学物质活动等情况记录制度的，或者未记录新化学物质活动等情况或者保存相关资料的；</w:t>
            </w:r>
          </w:p>
          <w:p w14:paraId="3E8A7568">
            <w:pPr>
              <w:spacing w:before="20" w:after="20" w:line="300" w:lineRule="auto"/>
              <w:rPr>
                <w:rFonts w:hint="eastAsia" w:ascii="宋体" w:hAnsi="宋体" w:eastAsia="宋体"/>
                <w:b/>
                <w:bCs/>
                <w:sz w:val="21"/>
                <w:szCs w:val="21"/>
              </w:rPr>
            </w:pPr>
            <w:r>
              <w:rPr>
                <w:rFonts w:ascii="宋体" w:hAnsi="宋体" w:eastAsia="宋体"/>
                <w:b/>
                <w:bCs/>
                <w:sz w:val="21"/>
                <w:szCs w:val="21"/>
              </w:rPr>
              <w:t>（七）未落实《中国现有化学物质名录》列明的环境管理要求的。</w:t>
            </w:r>
          </w:p>
        </w:tc>
      </w:tr>
      <w:tr w14:paraId="46B743C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noWrap w:val="0"/>
            <w:vAlign w:val="center"/>
          </w:tcPr>
          <w:p w14:paraId="352195CF">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裁量因素</w:t>
            </w:r>
          </w:p>
        </w:tc>
        <w:tc>
          <w:tcPr>
            <w:tcW w:w="6804" w:type="dxa"/>
            <w:noWrap w:val="0"/>
            <w:vAlign w:val="center"/>
          </w:tcPr>
          <w:p w14:paraId="14059F31">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裁量因子</w:t>
            </w:r>
          </w:p>
        </w:tc>
        <w:tc>
          <w:tcPr>
            <w:tcW w:w="1134" w:type="dxa"/>
            <w:noWrap w:val="0"/>
            <w:vAlign w:val="center"/>
          </w:tcPr>
          <w:p w14:paraId="41B66E9B">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裁量等级</w:t>
            </w:r>
          </w:p>
        </w:tc>
      </w:tr>
      <w:tr w14:paraId="3EAF24E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restart"/>
            <w:noWrap w:val="0"/>
            <w:vAlign w:val="center"/>
          </w:tcPr>
          <w:p w14:paraId="200C29B9">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涉及化学物质数量</w:t>
            </w:r>
          </w:p>
        </w:tc>
        <w:tc>
          <w:tcPr>
            <w:tcW w:w="6804" w:type="dxa"/>
            <w:noWrap w:val="0"/>
            <w:vAlign w:val="center"/>
          </w:tcPr>
          <w:p w14:paraId="769C068A">
            <w:pPr>
              <w:spacing w:before="20" w:after="20" w:line="300" w:lineRule="auto"/>
              <w:rPr>
                <w:rFonts w:hint="eastAsia" w:ascii="宋体" w:hAnsi="宋体" w:eastAsia="宋体"/>
                <w:b/>
                <w:bCs/>
                <w:sz w:val="21"/>
                <w:szCs w:val="21"/>
              </w:rPr>
            </w:pPr>
            <w:r>
              <w:rPr>
                <w:rFonts w:ascii="宋体" w:hAnsi="宋体" w:eastAsia="宋体"/>
                <w:b/>
                <w:bCs/>
                <w:sz w:val="21"/>
                <w:szCs w:val="21"/>
              </w:rPr>
              <w:t>不足1吨</w:t>
            </w:r>
          </w:p>
        </w:tc>
        <w:tc>
          <w:tcPr>
            <w:tcW w:w="1134" w:type="dxa"/>
            <w:noWrap w:val="0"/>
            <w:vAlign w:val="center"/>
          </w:tcPr>
          <w:p w14:paraId="44624C60">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1</w:t>
            </w:r>
          </w:p>
        </w:tc>
      </w:tr>
      <w:tr w14:paraId="7797E7A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top"/>
          </w:tcPr>
          <w:p w14:paraId="546C497A">
            <w:pPr>
              <w:spacing w:before="20" w:after="20" w:line="300" w:lineRule="auto"/>
              <w:rPr>
                <w:rFonts w:hint="eastAsia" w:ascii="宋体" w:hAnsi="宋体" w:eastAsia="宋体"/>
                <w:b/>
                <w:bCs/>
                <w:sz w:val="21"/>
                <w:szCs w:val="21"/>
              </w:rPr>
            </w:pPr>
          </w:p>
        </w:tc>
        <w:tc>
          <w:tcPr>
            <w:tcW w:w="6804" w:type="dxa"/>
            <w:noWrap w:val="0"/>
            <w:vAlign w:val="center"/>
          </w:tcPr>
          <w:p w14:paraId="0FC39A4A">
            <w:pPr>
              <w:spacing w:before="20" w:after="20" w:line="300" w:lineRule="auto"/>
              <w:rPr>
                <w:rFonts w:hint="eastAsia" w:ascii="宋体" w:hAnsi="宋体" w:eastAsia="宋体"/>
                <w:b/>
                <w:bCs/>
                <w:sz w:val="21"/>
                <w:szCs w:val="21"/>
              </w:rPr>
            </w:pPr>
            <w:r>
              <w:rPr>
                <w:rFonts w:ascii="宋体" w:hAnsi="宋体" w:eastAsia="宋体"/>
                <w:b/>
                <w:bCs/>
                <w:sz w:val="21"/>
                <w:szCs w:val="21"/>
              </w:rPr>
              <w:t>1吨以上不足10吨</w:t>
            </w:r>
          </w:p>
        </w:tc>
        <w:tc>
          <w:tcPr>
            <w:tcW w:w="1134" w:type="dxa"/>
            <w:noWrap w:val="0"/>
            <w:vAlign w:val="center"/>
          </w:tcPr>
          <w:p w14:paraId="0BABDB7F">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3</w:t>
            </w:r>
          </w:p>
        </w:tc>
      </w:tr>
      <w:tr w14:paraId="665E1E6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top"/>
          </w:tcPr>
          <w:p w14:paraId="5D4FA18C">
            <w:pPr>
              <w:spacing w:before="20" w:after="20" w:line="300" w:lineRule="auto"/>
              <w:rPr>
                <w:rFonts w:hint="eastAsia" w:ascii="宋体" w:hAnsi="宋体" w:eastAsia="宋体"/>
                <w:b/>
                <w:bCs/>
                <w:sz w:val="21"/>
                <w:szCs w:val="21"/>
              </w:rPr>
            </w:pPr>
          </w:p>
        </w:tc>
        <w:tc>
          <w:tcPr>
            <w:tcW w:w="6804" w:type="dxa"/>
            <w:noWrap w:val="0"/>
            <w:vAlign w:val="center"/>
          </w:tcPr>
          <w:p w14:paraId="24B74B42">
            <w:pPr>
              <w:spacing w:before="20" w:after="20" w:line="300" w:lineRule="auto"/>
              <w:rPr>
                <w:rFonts w:hint="eastAsia" w:ascii="宋体" w:hAnsi="宋体" w:eastAsia="宋体"/>
                <w:b/>
                <w:bCs/>
                <w:sz w:val="21"/>
                <w:szCs w:val="21"/>
              </w:rPr>
            </w:pPr>
            <w:r>
              <w:rPr>
                <w:rFonts w:ascii="宋体" w:hAnsi="宋体" w:eastAsia="宋体"/>
                <w:b/>
                <w:bCs/>
                <w:sz w:val="21"/>
                <w:szCs w:val="21"/>
              </w:rPr>
              <w:t>10吨以上</w:t>
            </w:r>
          </w:p>
        </w:tc>
        <w:tc>
          <w:tcPr>
            <w:tcW w:w="1134" w:type="dxa"/>
            <w:noWrap w:val="0"/>
            <w:vAlign w:val="center"/>
          </w:tcPr>
          <w:p w14:paraId="27FE724F">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5</w:t>
            </w:r>
          </w:p>
        </w:tc>
      </w:tr>
      <w:tr w14:paraId="2E744EE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restart"/>
            <w:noWrap w:val="0"/>
            <w:vAlign w:val="center"/>
          </w:tcPr>
          <w:p w14:paraId="32C0FB6F">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违法行为持续时间</w:t>
            </w:r>
          </w:p>
        </w:tc>
        <w:tc>
          <w:tcPr>
            <w:tcW w:w="6804" w:type="dxa"/>
            <w:noWrap w:val="0"/>
            <w:vAlign w:val="center"/>
          </w:tcPr>
          <w:p w14:paraId="2FC5E421">
            <w:pPr>
              <w:spacing w:before="20" w:after="20" w:line="300" w:lineRule="auto"/>
              <w:rPr>
                <w:rFonts w:hint="eastAsia" w:ascii="宋体" w:hAnsi="宋体" w:eastAsia="宋体"/>
                <w:b/>
                <w:bCs/>
                <w:sz w:val="21"/>
                <w:szCs w:val="21"/>
              </w:rPr>
            </w:pPr>
            <w:r>
              <w:rPr>
                <w:rFonts w:ascii="宋体" w:hAnsi="宋体" w:eastAsia="宋体"/>
                <w:b/>
                <w:bCs/>
                <w:sz w:val="21"/>
                <w:szCs w:val="21"/>
              </w:rPr>
              <w:t>不足3个月</w:t>
            </w:r>
          </w:p>
        </w:tc>
        <w:tc>
          <w:tcPr>
            <w:tcW w:w="1134" w:type="dxa"/>
            <w:noWrap w:val="0"/>
            <w:vAlign w:val="center"/>
          </w:tcPr>
          <w:p w14:paraId="24294657">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1</w:t>
            </w:r>
          </w:p>
        </w:tc>
      </w:tr>
      <w:tr w14:paraId="5214A74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top"/>
          </w:tcPr>
          <w:p w14:paraId="2DF250D0">
            <w:pPr>
              <w:spacing w:before="20" w:after="20" w:line="300" w:lineRule="auto"/>
              <w:rPr>
                <w:rFonts w:hint="eastAsia" w:ascii="宋体" w:hAnsi="宋体" w:eastAsia="宋体"/>
                <w:b/>
                <w:bCs/>
                <w:sz w:val="21"/>
                <w:szCs w:val="21"/>
              </w:rPr>
            </w:pPr>
          </w:p>
        </w:tc>
        <w:tc>
          <w:tcPr>
            <w:tcW w:w="6804" w:type="dxa"/>
            <w:noWrap w:val="0"/>
            <w:vAlign w:val="center"/>
          </w:tcPr>
          <w:p w14:paraId="5C414666">
            <w:pPr>
              <w:spacing w:before="20" w:after="20" w:line="300" w:lineRule="auto"/>
              <w:rPr>
                <w:rFonts w:hint="eastAsia" w:ascii="宋体" w:hAnsi="宋体" w:eastAsia="宋体"/>
                <w:b/>
                <w:bCs/>
                <w:sz w:val="21"/>
                <w:szCs w:val="21"/>
              </w:rPr>
            </w:pPr>
            <w:r>
              <w:rPr>
                <w:rFonts w:ascii="宋体" w:hAnsi="宋体" w:eastAsia="宋体"/>
                <w:b/>
                <w:bCs/>
                <w:sz w:val="21"/>
                <w:szCs w:val="21"/>
              </w:rPr>
              <w:t>3个月以上不足6个月</w:t>
            </w:r>
          </w:p>
        </w:tc>
        <w:tc>
          <w:tcPr>
            <w:tcW w:w="1134" w:type="dxa"/>
            <w:noWrap w:val="0"/>
            <w:vAlign w:val="center"/>
          </w:tcPr>
          <w:p w14:paraId="565DD8DA">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2</w:t>
            </w:r>
          </w:p>
        </w:tc>
      </w:tr>
      <w:tr w14:paraId="39470CC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top"/>
          </w:tcPr>
          <w:p w14:paraId="03C3A79D">
            <w:pPr>
              <w:spacing w:before="20" w:after="20" w:line="300" w:lineRule="auto"/>
              <w:rPr>
                <w:rFonts w:hint="eastAsia" w:ascii="宋体" w:hAnsi="宋体" w:eastAsia="宋体"/>
                <w:b/>
                <w:bCs/>
                <w:sz w:val="21"/>
                <w:szCs w:val="21"/>
              </w:rPr>
            </w:pPr>
          </w:p>
        </w:tc>
        <w:tc>
          <w:tcPr>
            <w:tcW w:w="6804" w:type="dxa"/>
            <w:noWrap w:val="0"/>
            <w:vAlign w:val="center"/>
          </w:tcPr>
          <w:p w14:paraId="6B37A2A2">
            <w:pPr>
              <w:spacing w:before="20" w:after="20" w:line="300" w:lineRule="auto"/>
              <w:rPr>
                <w:rFonts w:hint="eastAsia" w:ascii="宋体" w:hAnsi="宋体" w:eastAsia="宋体"/>
                <w:b/>
                <w:bCs/>
                <w:sz w:val="21"/>
                <w:szCs w:val="21"/>
              </w:rPr>
            </w:pPr>
            <w:r>
              <w:rPr>
                <w:rFonts w:ascii="宋体" w:hAnsi="宋体" w:eastAsia="宋体"/>
                <w:b/>
                <w:bCs/>
                <w:sz w:val="21"/>
                <w:szCs w:val="21"/>
              </w:rPr>
              <w:t>6个月以上不足1年</w:t>
            </w:r>
          </w:p>
        </w:tc>
        <w:tc>
          <w:tcPr>
            <w:tcW w:w="1134" w:type="dxa"/>
            <w:noWrap w:val="0"/>
            <w:vAlign w:val="center"/>
          </w:tcPr>
          <w:p w14:paraId="0948B5B8">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3</w:t>
            </w:r>
          </w:p>
        </w:tc>
      </w:tr>
      <w:tr w14:paraId="47C2ED7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top"/>
          </w:tcPr>
          <w:p w14:paraId="06D20530">
            <w:pPr>
              <w:spacing w:before="20" w:after="20" w:line="300" w:lineRule="auto"/>
              <w:rPr>
                <w:rFonts w:hint="eastAsia" w:ascii="宋体" w:hAnsi="宋体" w:eastAsia="宋体"/>
                <w:b/>
                <w:bCs/>
                <w:sz w:val="21"/>
                <w:szCs w:val="21"/>
              </w:rPr>
            </w:pPr>
          </w:p>
        </w:tc>
        <w:tc>
          <w:tcPr>
            <w:tcW w:w="6804" w:type="dxa"/>
            <w:noWrap w:val="0"/>
            <w:vAlign w:val="center"/>
          </w:tcPr>
          <w:p w14:paraId="2D4D3865">
            <w:pPr>
              <w:spacing w:before="20" w:after="20" w:line="300" w:lineRule="auto"/>
              <w:rPr>
                <w:rFonts w:hint="eastAsia" w:ascii="宋体" w:hAnsi="宋体" w:eastAsia="宋体"/>
                <w:b/>
                <w:bCs/>
                <w:sz w:val="21"/>
                <w:szCs w:val="21"/>
              </w:rPr>
            </w:pPr>
            <w:r>
              <w:rPr>
                <w:rFonts w:ascii="宋体" w:hAnsi="宋体" w:eastAsia="宋体"/>
                <w:b/>
                <w:bCs/>
                <w:sz w:val="21"/>
                <w:szCs w:val="21"/>
              </w:rPr>
              <w:t>1年以上不足2年</w:t>
            </w:r>
          </w:p>
        </w:tc>
        <w:tc>
          <w:tcPr>
            <w:tcW w:w="1134" w:type="dxa"/>
            <w:noWrap w:val="0"/>
            <w:vAlign w:val="center"/>
          </w:tcPr>
          <w:p w14:paraId="79AB4B02">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4</w:t>
            </w:r>
          </w:p>
        </w:tc>
      </w:tr>
      <w:tr w14:paraId="27B777D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top"/>
          </w:tcPr>
          <w:p w14:paraId="15652D4C">
            <w:pPr>
              <w:spacing w:before="20" w:after="20" w:line="300" w:lineRule="auto"/>
              <w:rPr>
                <w:rFonts w:hint="eastAsia" w:ascii="宋体" w:hAnsi="宋体" w:eastAsia="宋体"/>
                <w:b/>
                <w:bCs/>
                <w:sz w:val="21"/>
                <w:szCs w:val="21"/>
              </w:rPr>
            </w:pPr>
          </w:p>
        </w:tc>
        <w:tc>
          <w:tcPr>
            <w:tcW w:w="6804" w:type="dxa"/>
            <w:noWrap w:val="0"/>
            <w:vAlign w:val="center"/>
          </w:tcPr>
          <w:p w14:paraId="6E065CB1">
            <w:pPr>
              <w:spacing w:before="20" w:after="20" w:line="300" w:lineRule="auto"/>
              <w:rPr>
                <w:rFonts w:hint="eastAsia" w:ascii="宋体" w:hAnsi="宋体" w:eastAsia="宋体"/>
                <w:b/>
                <w:bCs/>
                <w:sz w:val="21"/>
                <w:szCs w:val="21"/>
              </w:rPr>
            </w:pPr>
            <w:r>
              <w:rPr>
                <w:rFonts w:ascii="宋体" w:hAnsi="宋体" w:eastAsia="宋体"/>
                <w:b/>
                <w:bCs/>
                <w:sz w:val="21"/>
                <w:szCs w:val="21"/>
              </w:rPr>
              <w:t>2年以上</w:t>
            </w:r>
          </w:p>
        </w:tc>
        <w:tc>
          <w:tcPr>
            <w:tcW w:w="1134" w:type="dxa"/>
            <w:noWrap w:val="0"/>
            <w:vAlign w:val="center"/>
          </w:tcPr>
          <w:p w14:paraId="6FEED561">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5</w:t>
            </w:r>
          </w:p>
        </w:tc>
      </w:tr>
    </w:tbl>
    <w:p w14:paraId="2CA37146">
      <w:pPr>
        <w:spacing w:after="120" w:afterLines="50" w:line="480" w:lineRule="exact"/>
        <w:rPr>
          <w:rFonts w:ascii="Times New Roman" w:hAnsi="Times New Roman" w:eastAsia="黑体"/>
          <w:sz w:val="28"/>
          <w:szCs w:val="28"/>
        </w:rPr>
      </w:pPr>
      <w:r>
        <w:rPr>
          <w:rFonts w:ascii="Times New Roman" w:hAnsi="Times New Roman" w:eastAsia="黑体"/>
          <w:sz w:val="28"/>
          <w:szCs w:val="28"/>
        </w:rPr>
        <w:t>（</w:t>
      </w:r>
      <w:r>
        <w:rPr>
          <w:rFonts w:hint="eastAsia" w:ascii="Times New Roman" w:hAnsi="Times New Roman" w:eastAsia="黑体"/>
          <w:sz w:val="28"/>
          <w:szCs w:val="28"/>
        </w:rPr>
        <w:t>八</w:t>
      </w:r>
      <w:r>
        <w:rPr>
          <w:rFonts w:ascii="Times New Roman" w:hAnsi="Times New Roman" w:eastAsia="黑体"/>
          <w:sz w:val="28"/>
          <w:szCs w:val="28"/>
        </w:rPr>
        <w:t>）违反绿色低碳发展管理规定的行为</w:t>
      </w:r>
    </w:p>
    <w:p w14:paraId="644710A9">
      <w:pPr>
        <w:spacing w:before="40" w:after="40" w:line="400" w:lineRule="auto"/>
        <w:jc w:val="both"/>
        <w:rPr>
          <w:rFonts w:hint="eastAsia" w:ascii="Times New Roman" w:hAnsi="Times New Roman" w:eastAsia="黑体"/>
          <w:b/>
          <w:sz w:val="24"/>
          <w:lang w:eastAsia="zh-CN"/>
        </w:rPr>
      </w:pPr>
      <w:r>
        <w:rPr>
          <w:rFonts w:hint="eastAsia" w:ascii="Times New Roman" w:hAnsi="Times New Roman" w:eastAsia="黑体"/>
          <w:b/>
          <w:sz w:val="24"/>
        </w:rPr>
        <w:t>1</w:t>
      </w:r>
      <w:r>
        <w:rPr>
          <w:rFonts w:ascii="Times New Roman" w:hAnsi="Times New Roman" w:eastAsia="黑体"/>
          <w:b/>
          <w:sz w:val="24"/>
        </w:rPr>
        <w:t>.重点排放单位未按照规定制定并执行温室气体排放数据质量控制方案，未按照规定向社会公开排放信息，或者未按照规定保存原始记录和管理台账的行为</w:t>
      </w:r>
      <w:r>
        <w:rPr>
          <w:rFonts w:hint="eastAsia" w:ascii="Times New Roman" w:hAnsi="Times New Roman" w:eastAsia="黑体"/>
          <w:b/>
          <w:sz w:val="24"/>
          <w:lang w:eastAsia="zh-CN"/>
        </w:rPr>
        <w:t>（新增）</w:t>
      </w:r>
    </w:p>
    <w:tbl>
      <w:tblPr>
        <w:tblStyle w:val="8"/>
        <w:tblW w:w="9064"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 w:type="dxa"/>
          <w:bottom w:w="0" w:type="dxa"/>
          <w:right w:w="10" w:type="dxa"/>
        </w:tblCellMar>
      </w:tblPr>
      <w:tblGrid>
        <w:gridCol w:w="1134"/>
        <w:gridCol w:w="6938"/>
        <w:gridCol w:w="992"/>
      </w:tblGrid>
      <w:tr w14:paraId="2E7971F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34" w:type="dxa"/>
            <w:noWrap w:val="0"/>
            <w:vAlign w:val="center"/>
          </w:tcPr>
          <w:p w14:paraId="295A7929">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违反条款</w:t>
            </w:r>
          </w:p>
        </w:tc>
        <w:tc>
          <w:tcPr>
            <w:tcW w:w="7930" w:type="dxa"/>
            <w:gridSpan w:val="2"/>
            <w:noWrap w:val="0"/>
            <w:vAlign w:val="center"/>
          </w:tcPr>
          <w:p w14:paraId="6127203B">
            <w:pPr>
              <w:spacing w:before="20" w:after="20" w:line="300" w:lineRule="auto"/>
              <w:rPr>
                <w:rFonts w:hint="eastAsia" w:ascii="宋体" w:hAnsi="宋体" w:eastAsia="宋体"/>
                <w:b/>
                <w:bCs/>
                <w:sz w:val="21"/>
                <w:szCs w:val="21"/>
              </w:rPr>
            </w:pPr>
            <w:bookmarkStart w:id="30" w:name="OLE_LINK24"/>
            <w:r>
              <w:rPr>
                <w:rFonts w:ascii="宋体" w:hAnsi="宋体" w:eastAsia="宋体"/>
                <w:b/>
                <w:bCs/>
                <w:sz w:val="21"/>
                <w:szCs w:val="21"/>
              </w:rPr>
              <w:t>《碳排放权交易管理暂行条例》</w:t>
            </w:r>
            <w:bookmarkEnd w:id="30"/>
            <w:r>
              <w:rPr>
                <w:rFonts w:ascii="宋体" w:hAnsi="宋体" w:eastAsia="宋体"/>
                <w:b/>
                <w:bCs/>
                <w:sz w:val="21"/>
                <w:szCs w:val="21"/>
              </w:rPr>
              <w:t>（2026修订版）第十一条</w:t>
            </w:r>
            <w:r>
              <w:rPr>
                <w:rFonts w:hint="eastAsia" w:ascii="宋体" w:hAnsi="宋体" w:eastAsia="宋体"/>
                <w:b/>
                <w:bCs/>
                <w:sz w:val="21"/>
                <w:szCs w:val="21"/>
              </w:rPr>
              <w:t xml:space="preserve">第一至第三款 </w:t>
            </w:r>
            <w:r>
              <w:rPr>
                <w:rFonts w:ascii="宋体" w:hAnsi="宋体" w:eastAsia="宋体"/>
                <w:b/>
                <w:bCs/>
                <w:sz w:val="21"/>
                <w:szCs w:val="21"/>
              </w:rPr>
              <w:t>重点排放单位应当采取有效措施控制温室气体排放，按照国家有关规定和国务院生态环境主管部门制定的技术规范，制定并严格执行温室气体排放数据质量控制方案，使用依法经计量检定合格或者校准的计量器具开展温室气体排放相关检验检测，如实准确统计核算本单位温室气体排放量，编制上一年度温室气体排放报告（以下简称年度排放报告），并按照规定将排放统计核算数据、年度排放报告报送其生产经营场所所在地省级人民政府生态环境主管部门。</w:t>
            </w:r>
          </w:p>
          <w:p w14:paraId="6E25496C">
            <w:pPr>
              <w:spacing w:before="20" w:after="20" w:line="300" w:lineRule="auto"/>
              <w:rPr>
                <w:rFonts w:hint="eastAsia" w:ascii="宋体" w:hAnsi="宋体" w:eastAsia="宋体"/>
                <w:b/>
                <w:bCs/>
                <w:sz w:val="21"/>
                <w:szCs w:val="21"/>
              </w:rPr>
            </w:pPr>
            <w:r>
              <w:rPr>
                <w:rFonts w:hint="eastAsia" w:ascii="宋体" w:hAnsi="宋体" w:eastAsia="宋体"/>
                <w:b/>
                <w:bCs/>
                <w:sz w:val="21"/>
                <w:szCs w:val="21"/>
              </w:rPr>
              <w:t>重点排放单位应当对其排放统计核算数据、年度排放报告的真实性、完整性、准确性负责。</w:t>
            </w:r>
          </w:p>
          <w:p w14:paraId="012E0D7F">
            <w:pPr>
              <w:spacing w:before="20" w:after="20" w:line="300" w:lineRule="auto"/>
              <w:rPr>
                <w:rFonts w:hint="eastAsia" w:ascii="宋体" w:hAnsi="宋体" w:eastAsia="宋体"/>
                <w:b/>
                <w:bCs/>
                <w:sz w:val="21"/>
                <w:szCs w:val="21"/>
              </w:rPr>
            </w:pPr>
            <w:r>
              <w:rPr>
                <w:rFonts w:hint="eastAsia" w:ascii="宋体" w:hAnsi="宋体" w:eastAsia="宋体"/>
                <w:b/>
                <w:bCs/>
                <w:sz w:val="21"/>
                <w:szCs w:val="21"/>
              </w:rPr>
              <w:t>重点排放单位应当按照国家有关规定，向社会公开其年度排放报告中的排放量、排放设施、统计核算方法等信息。年度排放报告所涉数据的原始记录和管理台账应当至少保存5年。</w:t>
            </w:r>
          </w:p>
        </w:tc>
      </w:tr>
      <w:tr w14:paraId="7ECFB73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34" w:type="dxa"/>
            <w:noWrap w:val="0"/>
            <w:vAlign w:val="center"/>
          </w:tcPr>
          <w:p w14:paraId="02FA5804">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处罚依据</w:t>
            </w:r>
          </w:p>
        </w:tc>
        <w:tc>
          <w:tcPr>
            <w:tcW w:w="7930" w:type="dxa"/>
            <w:gridSpan w:val="2"/>
            <w:noWrap w:val="0"/>
            <w:vAlign w:val="center"/>
          </w:tcPr>
          <w:p w14:paraId="031DA355">
            <w:pPr>
              <w:spacing w:before="20" w:after="20" w:line="300" w:lineRule="auto"/>
              <w:rPr>
                <w:rFonts w:hint="eastAsia" w:ascii="宋体" w:hAnsi="宋体" w:eastAsia="宋体"/>
                <w:b/>
                <w:bCs/>
                <w:sz w:val="21"/>
                <w:szCs w:val="21"/>
              </w:rPr>
            </w:pPr>
            <w:r>
              <w:rPr>
                <w:rFonts w:ascii="宋体" w:hAnsi="宋体" w:eastAsia="宋体"/>
                <w:b/>
                <w:bCs/>
                <w:sz w:val="21"/>
                <w:szCs w:val="21"/>
              </w:rPr>
              <w:t>《碳排放权交易管理暂行条例》（2026修订版）第二十一条</w:t>
            </w:r>
            <w:r>
              <w:rPr>
                <w:rFonts w:hint="eastAsia" w:ascii="宋体" w:hAnsi="宋体" w:eastAsia="宋体"/>
                <w:b/>
                <w:bCs/>
                <w:sz w:val="21"/>
                <w:szCs w:val="21"/>
              </w:rPr>
              <w:t xml:space="preserve"> </w:t>
            </w:r>
            <w:r>
              <w:rPr>
                <w:rFonts w:ascii="宋体" w:hAnsi="宋体" w:eastAsia="宋体"/>
                <w:b/>
                <w:bCs/>
                <w:sz w:val="21"/>
                <w:szCs w:val="21"/>
              </w:rPr>
              <w:t>重点排放单位有下列情形之一的，由生态环境主管部门责令改正，处5万元以上50万元以下的罚款；拒不改正的，可以责令停产整治：</w:t>
            </w:r>
          </w:p>
          <w:p w14:paraId="1A2E2F0E">
            <w:pPr>
              <w:spacing w:before="20" w:after="20" w:line="300" w:lineRule="auto"/>
              <w:jc w:val="both"/>
              <w:rPr>
                <w:rFonts w:hint="eastAsia" w:ascii="宋体" w:hAnsi="宋体" w:eastAsia="宋体"/>
                <w:b/>
                <w:bCs/>
                <w:sz w:val="21"/>
                <w:szCs w:val="21"/>
              </w:rPr>
            </w:pPr>
            <w:r>
              <w:rPr>
                <w:rFonts w:ascii="宋体" w:hAnsi="宋体" w:eastAsia="宋体"/>
                <w:b/>
                <w:bCs/>
                <w:sz w:val="21"/>
                <w:szCs w:val="21"/>
              </w:rPr>
              <w:t>（一）未按照规定制定并执行温室气体排放数据质量控制方案；</w:t>
            </w:r>
          </w:p>
          <w:p w14:paraId="23C8934C">
            <w:pPr>
              <w:spacing w:before="20" w:after="20" w:line="300" w:lineRule="auto"/>
              <w:jc w:val="both"/>
              <w:rPr>
                <w:rFonts w:hint="eastAsia" w:ascii="宋体" w:hAnsi="宋体" w:eastAsia="宋体"/>
                <w:b/>
                <w:bCs/>
                <w:sz w:val="21"/>
                <w:szCs w:val="21"/>
              </w:rPr>
            </w:pPr>
            <w:r>
              <w:rPr>
                <w:rFonts w:ascii="宋体" w:hAnsi="宋体" w:eastAsia="宋体"/>
                <w:b/>
                <w:bCs/>
                <w:sz w:val="21"/>
                <w:szCs w:val="21"/>
              </w:rPr>
              <w:t>（二）未按照规定报送排放统计核算数据、年度排放报告；</w:t>
            </w:r>
          </w:p>
          <w:p w14:paraId="79F63287">
            <w:pPr>
              <w:spacing w:before="20" w:after="20" w:line="300" w:lineRule="auto"/>
              <w:jc w:val="both"/>
              <w:rPr>
                <w:rFonts w:hint="eastAsia" w:ascii="宋体" w:hAnsi="宋体" w:eastAsia="宋体"/>
                <w:b/>
                <w:bCs/>
                <w:sz w:val="21"/>
                <w:szCs w:val="21"/>
              </w:rPr>
            </w:pPr>
            <w:r>
              <w:rPr>
                <w:rFonts w:ascii="宋体" w:hAnsi="宋体" w:eastAsia="宋体"/>
                <w:b/>
                <w:bCs/>
                <w:sz w:val="21"/>
                <w:szCs w:val="21"/>
              </w:rPr>
              <w:t>（三）未按照规定向社会公开年度排放报告中的排放量、排放设施、统计核算方法等信息；</w:t>
            </w:r>
          </w:p>
          <w:p w14:paraId="26E895D1">
            <w:pPr>
              <w:spacing w:before="20" w:after="20" w:line="300" w:lineRule="auto"/>
              <w:rPr>
                <w:rFonts w:hint="eastAsia" w:ascii="宋体" w:hAnsi="宋体" w:eastAsia="宋体"/>
                <w:b/>
                <w:bCs/>
                <w:sz w:val="21"/>
                <w:szCs w:val="21"/>
              </w:rPr>
            </w:pPr>
            <w:r>
              <w:rPr>
                <w:rFonts w:ascii="宋体" w:hAnsi="宋体" w:eastAsia="宋体"/>
                <w:b/>
                <w:bCs/>
                <w:sz w:val="21"/>
                <w:szCs w:val="21"/>
              </w:rPr>
              <w:t>（四）未按照规定保存年度排放报告所涉数据的原始记录和管理台账。</w:t>
            </w:r>
          </w:p>
        </w:tc>
      </w:tr>
      <w:tr w14:paraId="5263FB9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34" w:type="dxa"/>
            <w:noWrap w:val="0"/>
            <w:vAlign w:val="center"/>
          </w:tcPr>
          <w:p w14:paraId="0234764C">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裁量因素</w:t>
            </w:r>
          </w:p>
        </w:tc>
        <w:tc>
          <w:tcPr>
            <w:tcW w:w="6938" w:type="dxa"/>
            <w:noWrap w:val="0"/>
            <w:vAlign w:val="center"/>
          </w:tcPr>
          <w:p w14:paraId="7F27553C">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裁量因子</w:t>
            </w:r>
          </w:p>
        </w:tc>
        <w:tc>
          <w:tcPr>
            <w:tcW w:w="992" w:type="dxa"/>
            <w:noWrap w:val="0"/>
            <w:vAlign w:val="center"/>
          </w:tcPr>
          <w:p w14:paraId="3CF44BB8">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裁量等级</w:t>
            </w:r>
          </w:p>
        </w:tc>
      </w:tr>
      <w:tr w14:paraId="7F9DACD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34" w:type="dxa"/>
            <w:vMerge w:val="restart"/>
            <w:noWrap w:val="0"/>
            <w:vAlign w:val="center"/>
          </w:tcPr>
          <w:p w14:paraId="4DDF079E">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违法事实</w:t>
            </w:r>
          </w:p>
        </w:tc>
        <w:tc>
          <w:tcPr>
            <w:tcW w:w="6938" w:type="dxa"/>
            <w:noWrap w:val="0"/>
            <w:vAlign w:val="center"/>
          </w:tcPr>
          <w:p w14:paraId="228412D0">
            <w:pPr>
              <w:spacing w:before="20" w:after="20" w:line="300" w:lineRule="auto"/>
              <w:rPr>
                <w:rFonts w:hint="eastAsia" w:ascii="宋体" w:hAnsi="宋体" w:eastAsia="宋体"/>
                <w:b/>
                <w:bCs/>
                <w:sz w:val="21"/>
                <w:szCs w:val="21"/>
              </w:rPr>
            </w:pPr>
            <w:r>
              <w:rPr>
                <w:rFonts w:ascii="宋体" w:hAnsi="宋体" w:eastAsia="宋体"/>
                <w:b/>
                <w:bCs/>
                <w:sz w:val="21"/>
                <w:szCs w:val="21"/>
              </w:rPr>
              <w:t>未按照规定保存原始记录、管理台账/未按照规定</w:t>
            </w:r>
            <w:r>
              <w:rPr>
                <w:rFonts w:hint="eastAsia" w:ascii="宋体" w:hAnsi="宋体" w:eastAsia="宋体"/>
                <w:b/>
                <w:bCs/>
                <w:sz w:val="21"/>
                <w:szCs w:val="21"/>
              </w:rPr>
              <w:t>报送相关数据或报告</w:t>
            </w:r>
            <w:r>
              <w:rPr>
                <w:rFonts w:ascii="宋体" w:hAnsi="宋体" w:eastAsia="宋体"/>
                <w:b/>
                <w:bCs/>
                <w:sz w:val="21"/>
                <w:szCs w:val="21"/>
              </w:rPr>
              <w:t>/未按照规定公开排放信息</w:t>
            </w:r>
          </w:p>
        </w:tc>
        <w:tc>
          <w:tcPr>
            <w:tcW w:w="992" w:type="dxa"/>
            <w:noWrap w:val="0"/>
            <w:vAlign w:val="center"/>
          </w:tcPr>
          <w:p w14:paraId="0538157A">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1</w:t>
            </w:r>
          </w:p>
        </w:tc>
      </w:tr>
      <w:tr w14:paraId="12A8248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34" w:type="dxa"/>
            <w:vMerge w:val="continue"/>
            <w:noWrap w:val="0"/>
            <w:vAlign w:val="top"/>
          </w:tcPr>
          <w:p w14:paraId="64443F37">
            <w:pPr>
              <w:spacing w:before="20" w:after="20" w:line="300" w:lineRule="auto"/>
              <w:jc w:val="center"/>
              <w:rPr>
                <w:rFonts w:hint="eastAsia" w:ascii="宋体" w:hAnsi="宋体" w:eastAsia="宋体"/>
                <w:b/>
                <w:bCs/>
                <w:sz w:val="21"/>
                <w:szCs w:val="21"/>
              </w:rPr>
            </w:pPr>
          </w:p>
        </w:tc>
        <w:tc>
          <w:tcPr>
            <w:tcW w:w="6938" w:type="dxa"/>
            <w:noWrap w:val="0"/>
            <w:vAlign w:val="center"/>
          </w:tcPr>
          <w:p w14:paraId="1778E1A7">
            <w:pPr>
              <w:spacing w:before="20" w:after="20" w:line="300" w:lineRule="auto"/>
              <w:rPr>
                <w:rFonts w:hint="eastAsia" w:ascii="宋体" w:hAnsi="宋体" w:eastAsia="宋体"/>
                <w:b/>
                <w:bCs/>
                <w:sz w:val="21"/>
                <w:szCs w:val="21"/>
              </w:rPr>
            </w:pPr>
            <w:r>
              <w:rPr>
                <w:rFonts w:ascii="宋体" w:hAnsi="宋体" w:eastAsia="宋体"/>
                <w:b/>
                <w:bCs/>
                <w:sz w:val="21"/>
                <w:szCs w:val="21"/>
              </w:rPr>
              <w:t>未按照规定制定数据质量控制方案</w:t>
            </w:r>
          </w:p>
        </w:tc>
        <w:tc>
          <w:tcPr>
            <w:tcW w:w="992" w:type="dxa"/>
            <w:noWrap w:val="0"/>
            <w:vAlign w:val="center"/>
          </w:tcPr>
          <w:p w14:paraId="7803DCAB">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3</w:t>
            </w:r>
          </w:p>
        </w:tc>
      </w:tr>
      <w:tr w14:paraId="0652E6F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34" w:type="dxa"/>
            <w:vMerge w:val="continue"/>
            <w:noWrap w:val="0"/>
            <w:vAlign w:val="top"/>
          </w:tcPr>
          <w:p w14:paraId="5B6F736C">
            <w:pPr>
              <w:spacing w:before="20" w:after="20" w:line="300" w:lineRule="auto"/>
              <w:jc w:val="center"/>
              <w:rPr>
                <w:rFonts w:hint="eastAsia" w:ascii="宋体" w:hAnsi="宋体" w:eastAsia="宋体"/>
                <w:b/>
                <w:bCs/>
                <w:sz w:val="21"/>
                <w:szCs w:val="21"/>
              </w:rPr>
            </w:pPr>
          </w:p>
        </w:tc>
        <w:tc>
          <w:tcPr>
            <w:tcW w:w="6938" w:type="dxa"/>
            <w:noWrap w:val="0"/>
            <w:vAlign w:val="center"/>
          </w:tcPr>
          <w:p w14:paraId="4E00B365">
            <w:pPr>
              <w:spacing w:before="20" w:after="20" w:line="300" w:lineRule="auto"/>
              <w:rPr>
                <w:rFonts w:hint="eastAsia" w:ascii="宋体" w:hAnsi="宋体" w:eastAsia="宋体"/>
                <w:b/>
                <w:bCs/>
                <w:sz w:val="21"/>
                <w:szCs w:val="21"/>
              </w:rPr>
            </w:pPr>
            <w:r>
              <w:rPr>
                <w:rFonts w:ascii="宋体" w:hAnsi="宋体" w:eastAsia="宋体"/>
                <w:b/>
                <w:bCs/>
                <w:sz w:val="21"/>
                <w:szCs w:val="21"/>
              </w:rPr>
              <w:t>未执行数据质量控制方案</w:t>
            </w:r>
          </w:p>
        </w:tc>
        <w:tc>
          <w:tcPr>
            <w:tcW w:w="992" w:type="dxa"/>
            <w:noWrap w:val="0"/>
            <w:vAlign w:val="center"/>
          </w:tcPr>
          <w:p w14:paraId="07A1B5CC">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5</w:t>
            </w:r>
          </w:p>
        </w:tc>
      </w:tr>
      <w:tr w14:paraId="7321ED8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34" w:type="dxa"/>
            <w:vMerge w:val="restart"/>
            <w:noWrap w:val="0"/>
            <w:vAlign w:val="center"/>
          </w:tcPr>
          <w:p w14:paraId="740ADD0D">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违法行为持续时间</w:t>
            </w:r>
          </w:p>
        </w:tc>
        <w:tc>
          <w:tcPr>
            <w:tcW w:w="6938" w:type="dxa"/>
            <w:noWrap w:val="0"/>
            <w:vAlign w:val="center"/>
          </w:tcPr>
          <w:p w14:paraId="4DB6D29E">
            <w:pPr>
              <w:spacing w:before="20" w:after="20" w:line="300" w:lineRule="auto"/>
              <w:rPr>
                <w:rFonts w:hint="eastAsia" w:ascii="宋体" w:hAnsi="宋体" w:eastAsia="宋体"/>
                <w:b/>
                <w:bCs/>
                <w:sz w:val="21"/>
                <w:szCs w:val="21"/>
              </w:rPr>
            </w:pPr>
            <w:r>
              <w:rPr>
                <w:rFonts w:ascii="宋体" w:hAnsi="宋体" w:eastAsia="宋体"/>
                <w:b/>
                <w:bCs/>
                <w:sz w:val="21"/>
                <w:szCs w:val="21"/>
              </w:rPr>
              <w:t>不足3个月</w:t>
            </w:r>
          </w:p>
        </w:tc>
        <w:tc>
          <w:tcPr>
            <w:tcW w:w="992" w:type="dxa"/>
            <w:noWrap w:val="0"/>
            <w:vAlign w:val="center"/>
          </w:tcPr>
          <w:p w14:paraId="3D66B482">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1</w:t>
            </w:r>
          </w:p>
        </w:tc>
      </w:tr>
      <w:tr w14:paraId="14FD392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34" w:type="dxa"/>
            <w:vMerge w:val="continue"/>
            <w:noWrap w:val="0"/>
            <w:vAlign w:val="top"/>
          </w:tcPr>
          <w:p w14:paraId="0B153990">
            <w:pPr>
              <w:spacing w:before="20" w:after="20" w:line="300" w:lineRule="auto"/>
              <w:rPr>
                <w:rFonts w:hint="eastAsia" w:ascii="宋体" w:hAnsi="宋体" w:eastAsia="宋体"/>
                <w:b/>
                <w:bCs/>
                <w:sz w:val="21"/>
                <w:szCs w:val="21"/>
              </w:rPr>
            </w:pPr>
          </w:p>
        </w:tc>
        <w:tc>
          <w:tcPr>
            <w:tcW w:w="6938" w:type="dxa"/>
            <w:noWrap w:val="0"/>
            <w:vAlign w:val="center"/>
          </w:tcPr>
          <w:p w14:paraId="539F4535">
            <w:pPr>
              <w:spacing w:before="20" w:after="20" w:line="300" w:lineRule="auto"/>
              <w:rPr>
                <w:rFonts w:hint="eastAsia" w:ascii="宋体" w:hAnsi="宋体" w:eastAsia="宋体"/>
                <w:b/>
                <w:bCs/>
                <w:sz w:val="21"/>
                <w:szCs w:val="21"/>
              </w:rPr>
            </w:pPr>
            <w:r>
              <w:rPr>
                <w:rFonts w:ascii="宋体" w:hAnsi="宋体" w:eastAsia="宋体"/>
                <w:b/>
                <w:bCs/>
                <w:sz w:val="21"/>
                <w:szCs w:val="21"/>
              </w:rPr>
              <w:t>3个月以上不足6个月</w:t>
            </w:r>
          </w:p>
        </w:tc>
        <w:tc>
          <w:tcPr>
            <w:tcW w:w="992" w:type="dxa"/>
            <w:noWrap w:val="0"/>
            <w:vAlign w:val="center"/>
          </w:tcPr>
          <w:p w14:paraId="2F3A44A4">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2</w:t>
            </w:r>
          </w:p>
        </w:tc>
      </w:tr>
      <w:tr w14:paraId="7FFE444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34" w:type="dxa"/>
            <w:vMerge w:val="continue"/>
            <w:noWrap w:val="0"/>
            <w:vAlign w:val="top"/>
          </w:tcPr>
          <w:p w14:paraId="58B0236E">
            <w:pPr>
              <w:spacing w:before="20" w:after="20" w:line="300" w:lineRule="auto"/>
              <w:rPr>
                <w:rFonts w:hint="eastAsia" w:ascii="宋体" w:hAnsi="宋体" w:eastAsia="宋体"/>
                <w:b/>
                <w:bCs/>
                <w:sz w:val="21"/>
                <w:szCs w:val="21"/>
              </w:rPr>
            </w:pPr>
          </w:p>
        </w:tc>
        <w:tc>
          <w:tcPr>
            <w:tcW w:w="6938" w:type="dxa"/>
            <w:noWrap w:val="0"/>
            <w:vAlign w:val="center"/>
          </w:tcPr>
          <w:p w14:paraId="26BBD9BC">
            <w:pPr>
              <w:spacing w:before="20" w:after="20" w:line="300" w:lineRule="auto"/>
              <w:rPr>
                <w:rFonts w:hint="eastAsia" w:ascii="宋体" w:hAnsi="宋体" w:eastAsia="宋体"/>
                <w:b/>
                <w:bCs/>
                <w:sz w:val="21"/>
                <w:szCs w:val="21"/>
              </w:rPr>
            </w:pPr>
            <w:r>
              <w:rPr>
                <w:rFonts w:ascii="宋体" w:hAnsi="宋体" w:eastAsia="宋体"/>
                <w:b/>
                <w:bCs/>
                <w:sz w:val="21"/>
                <w:szCs w:val="21"/>
              </w:rPr>
              <w:t>6个月以上不足1年</w:t>
            </w:r>
          </w:p>
        </w:tc>
        <w:tc>
          <w:tcPr>
            <w:tcW w:w="992" w:type="dxa"/>
            <w:noWrap w:val="0"/>
            <w:vAlign w:val="center"/>
          </w:tcPr>
          <w:p w14:paraId="707034A0">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3</w:t>
            </w:r>
          </w:p>
        </w:tc>
      </w:tr>
      <w:tr w14:paraId="10799D6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34" w:type="dxa"/>
            <w:vMerge w:val="continue"/>
            <w:noWrap w:val="0"/>
            <w:vAlign w:val="top"/>
          </w:tcPr>
          <w:p w14:paraId="6A6B59CE">
            <w:pPr>
              <w:spacing w:before="20" w:after="20" w:line="300" w:lineRule="auto"/>
              <w:rPr>
                <w:rFonts w:hint="eastAsia" w:ascii="宋体" w:hAnsi="宋体" w:eastAsia="宋体"/>
                <w:b/>
                <w:bCs/>
                <w:sz w:val="21"/>
                <w:szCs w:val="21"/>
              </w:rPr>
            </w:pPr>
          </w:p>
        </w:tc>
        <w:tc>
          <w:tcPr>
            <w:tcW w:w="6938" w:type="dxa"/>
            <w:noWrap w:val="0"/>
            <w:vAlign w:val="center"/>
          </w:tcPr>
          <w:p w14:paraId="6594E935">
            <w:pPr>
              <w:spacing w:before="20" w:after="20" w:line="300" w:lineRule="auto"/>
              <w:rPr>
                <w:rFonts w:hint="eastAsia" w:ascii="宋体" w:hAnsi="宋体" w:eastAsia="宋体"/>
                <w:b/>
                <w:bCs/>
                <w:sz w:val="21"/>
                <w:szCs w:val="21"/>
              </w:rPr>
            </w:pPr>
            <w:r>
              <w:rPr>
                <w:rFonts w:ascii="宋体" w:hAnsi="宋体" w:eastAsia="宋体"/>
                <w:b/>
                <w:bCs/>
                <w:sz w:val="21"/>
                <w:szCs w:val="21"/>
              </w:rPr>
              <w:t>1年以上不足2年</w:t>
            </w:r>
          </w:p>
        </w:tc>
        <w:tc>
          <w:tcPr>
            <w:tcW w:w="992" w:type="dxa"/>
            <w:noWrap w:val="0"/>
            <w:vAlign w:val="center"/>
          </w:tcPr>
          <w:p w14:paraId="095E2832">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4</w:t>
            </w:r>
          </w:p>
        </w:tc>
      </w:tr>
      <w:tr w14:paraId="51C1221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34" w:type="dxa"/>
            <w:vMerge w:val="continue"/>
            <w:noWrap w:val="0"/>
            <w:vAlign w:val="top"/>
          </w:tcPr>
          <w:p w14:paraId="7C62FB9A">
            <w:pPr>
              <w:spacing w:before="20" w:after="20" w:line="300" w:lineRule="auto"/>
              <w:rPr>
                <w:rFonts w:hint="eastAsia" w:ascii="宋体" w:hAnsi="宋体" w:eastAsia="宋体"/>
                <w:b/>
                <w:bCs/>
                <w:sz w:val="21"/>
                <w:szCs w:val="21"/>
              </w:rPr>
            </w:pPr>
          </w:p>
        </w:tc>
        <w:tc>
          <w:tcPr>
            <w:tcW w:w="6938" w:type="dxa"/>
            <w:noWrap w:val="0"/>
            <w:vAlign w:val="center"/>
          </w:tcPr>
          <w:p w14:paraId="4C1A281D">
            <w:pPr>
              <w:spacing w:before="20" w:after="20" w:line="300" w:lineRule="auto"/>
              <w:rPr>
                <w:rFonts w:hint="eastAsia" w:ascii="宋体" w:hAnsi="宋体" w:eastAsia="宋体"/>
                <w:b/>
                <w:bCs/>
                <w:sz w:val="21"/>
                <w:szCs w:val="21"/>
              </w:rPr>
            </w:pPr>
            <w:r>
              <w:rPr>
                <w:rFonts w:ascii="宋体" w:hAnsi="宋体" w:eastAsia="宋体"/>
                <w:b/>
                <w:bCs/>
                <w:sz w:val="21"/>
                <w:szCs w:val="21"/>
              </w:rPr>
              <w:t>2年以上</w:t>
            </w:r>
          </w:p>
        </w:tc>
        <w:tc>
          <w:tcPr>
            <w:tcW w:w="992" w:type="dxa"/>
            <w:noWrap w:val="0"/>
            <w:vAlign w:val="center"/>
          </w:tcPr>
          <w:p w14:paraId="1823BC2E">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5</w:t>
            </w:r>
          </w:p>
        </w:tc>
      </w:tr>
    </w:tbl>
    <w:p w14:paraId="2140F025">
      <w:pPr>
        <w:spacing w:before="40" w:after="40" w:line="400" w:lineRule="auto"/>
        <w:jc w:val="both"/>
        <w:rPr>
          <w:rFonts w:hint="eastAsia" w:ascii="Times New Roman" w:hAnsi="Times New Roman" w:eastAsia="黑体"/>
          <w:b/>
          <w:sz w:val="24"/>
          <w:lang w:eastAsia="zh-CN"/>
        </w:rPr>
      </w:pPr>
      <w:r>
        <w:rPr>
          <w:rFonts w:hint="eastAsia" w:ascii="Times New Roman" w:hAnsi="Times New Roman" w:eastAsia="黑体"/>
          <w:b/>
          <w:sz w:val="24"/>
        </w:rPr>
        <w:t>2</w:t>
      </w:r>
      <w:r>
        <w:rPr>
          <w:rFonts w:ascii="Times New Roman" w:hAnsi="Times New Roman" w:eastAsia="黑体"/>
          <w:b/>
          <w:sz w:val="24"/>
        </w:rPr>
        <w:t>.重点排放单位未按照规定统计核算温室气体排放量，编制的年度排放报告存在重大缺陷、遗漏或者弄虚作假，或者未按照规定制作和送检样品的行为</w:t>
      </w:r>
      <w:r>
        <w:rPr>
          <w:rFonts w:hint="eastAsia" w:ascii="Times New Roman" w:hAnsi="Times New Roman" w:eastAsia="黑体"/>
          <w:b/>
          <w:sz w:val="24"/>
          <w:lang w:eastAsia="zh-CN"/>
        </w:rPr>
        <w:t>（新增）</w:t>
      </w:r>
    </w:p>
    <w:tbl>
      <w:tblPr>
        <w:tblStyle w:val="8"/>
        <w:tblW w:w="9096"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 w:type="dxa"/>
          <w:bottom w:w="0" w:type="dxa"/>
          <w:right w:w="10" w:type="dxa"/>
        </w:tblCellMar>
      </w:tblPr>
      <w:tblGrid>
        <w:gridCol w:w="1126"/>
        <w:gridCol w:w="6946"/>
        <w:gridCol w:w="1024"/>
      </w:tblGrid>
      <w:tr w14:paraId="2B18176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noWrap w:val="0"/>
            <w:vAlign w:val="center"/>
          </w:tcPr>
          <w:p w14:paraId="2D6B8392">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违反条款</w:t>
            </w:r>
          </w:p>
        </w:tc>
        <w:tc>
          <w:tcPr>
            <w:tcW w:w="7970" w:type="dxa"/>
            <w:gridSpan w:val="2"/>
            <w:noWrap w:val="0"/>
            <w:vAlign w:val="center"/>
          </w:tcPr>
          <w:p w14:paraId="63C6D498">
            <w:pPr>
              <w:spacing w:before="20" w:after="20" w:line="300" w:lineRule="auto"/>
              <w:rPr>
                <w:rFonts w:hint="eastAsia" w:ascii="宋体" w:hAnsi="宋体" w:eastAsia="宋体"/>
                <w:b/>
                <w:bCs/>
                <w:sz w:val="21"/>
                <w:szCs w:val="21"/>
              </w:rPr>
            </w:pPr>
            <w:r>
              <w:rPr>
                <w:rFonts w:ascii="宋体" w:hAnsi="宋体" w:eastAsia="宋体"/>
                <w:b/>
                <w:bCs/>
                <w:sz w:val="21"/>
                <w:szCs w:val="21"/>
              </w:rPr>
              <w:t>《碳排放权交易管理暂行条例》（2026修订版）第十一条</w:t>
            </w:r>
            <w:r>
              <w:rPr>
                <w:rFonts w:hint="eastAsia" w:ascii="宋体" w:hAnsi="宋体" w:eastAsia="宋体"/>
                <w:b/>
                <w:bCs/>
                <w:sz w:val="21"/>
                <w:szCs w:val="21"/>
              </w:rPr>
              <w:t xml:space="preserve">第一至第二款 </w:t>
            </w:r>
            <w:r>
              <w:rPr>
                <w:rFonts w:ascii="宋体" w:hAnsi="宋体" w:eastAsia="宋体"/>
                <w:b/>
                <w:bCs/>
                <w:sz w:val="21"/>
                <w:szCs w:val="21"/>
              </w:rPr>
              <w:t>重点排放单位应当采取有效措施控制温室气体排放，按照国家有关规定和国务院生态环境主管部门制定的技术规范，制定并严格执行温室气体排放数据质量控制方案，使用依法经计量检定合格或者校准的计量器具开展温室气体排放相关检验检测，如实准确统计核算本单位温室气体排放量，编制上一年度温室气体排放报告（以下简称年度排放报告），并按照规定将排放统计核算数据、年度排放报告报送其生产经营场所所在地省级人民政府生态环境主管部门。</w:t>
            </w:r>
          </w:p>
          <w:p w14:paraId="26D4C1BE">
            <w:pPr>
              <w:spacing w:before="20" w:after="20" w:line="300" w:lineRule="auto"/>
              <w:rPr>
                <w:rFonts w:hint="eastAsia" w:ascii="宋体" w:hAnsi="宋体" w:eastAsia="宋体"/>
                <w:b/>
                <w:bCs/>
                <w:sz w:val="21"/>
                <w:szCs w:val="21"/>
              </w:rPr>
            </w:pPr>
            <w:r>
              <w:rPr>
                <w:rFonts w:ascii="宋体" w:hAnsi="宋体" w:eastAsia="宋体"/>
                <w:b/>
                <w:bCs/>
                <w:sz w:val="21"/>
                <w:szCs w:val="21"/>
              </w:rPr>
              <w:t>重点排放单位应当对其排放统计核算数据、年度排放报告的真实性、完整性、准确性负责。</w:t>
            </w:r>
          </w:p>
          <w:p w14:paraId="05D5DEA7">
            <w:pPr>
              <w:spacing w:before="20" w:after="20" w:line="300" w:lineRule="auto"/>
              <w:rPr>
                <w:rFonts w:hint="eastAsia" w:ascii="宋体" w:hAnsi="宋体" w:eastAsia="宋体"/>
                <w:b/>
                <w:bCs/>
                <w:sz w:val="21"/>
                <w:szCs w:val="21"/>
              </w:rPr>
            </w:pPr>
            <w:r>
              <w:rPr>
                <w:rFonts w:ascii="宋体" w:hAnsi="宋体" w:eastAsia="宋体"/>
                <w:b/>
                <w:bCs/>
                <w:sz w:val="21"/>
                <w:szCs w:val="21"/>
              </w:rPr>
              <w:t>第十三条第</w:t>
            </w:r>
            <w:r>
              <w:rPr>
                <w:rFonts w:hint="eastAsia" w:ascii="宋体" w:hAnsi="宋体" w:eastAsia="宋体"/>
                <w:b/>
                <w:bCs/>
                <w:sz w:val="21"/>
                <w:szCs w:val="21"/>
              </w:rPr>
              <w:t>一</w:t>
            </w:r>
            <w:r>
              <w:rPr>
                <w:rFonts w:ascii="宋体" w:hAnsi="宋体" w:eastAsia="宋体"/>
                <w:b/>
                <w:bCs/>
                <w:sz w:val="21"/>
                <w:szCs w:val="21"/>
              </w:rPr>
              <w:t>款</w:t>
            </w:r>
            <w:r>
              <w:rPr>
                <w:rFonts w:hint="eastAsia" w:ascii="宋体" w:hAnsi="宋体" w:eastAsia="宋体"/>
                <w:b/>
                <w:bCs/>
                <w:sz w:val="21"/>
                <w:szCs w:val="21"/>
              </w:rPr>
              <w:t xml:space="preserve"> </w:t>
            </w:r>
            <w:r>
              <w:rPr>
                <w:rFonts w:ascii="宋体" w:hAnsi="宋体" w:eastAsia="宋体"/>
                <w:b/>
                <w:bCs/>
                <w:sz w:val="21"/>
                <w:szCs w:val="21"/>
              </w:rPr>
              <w:t>重点排放单位应当按照国家有关规定制作和送检样品，对样品的代表性、真实性负责。</w:t>
            </w:r>
          </w:p>
        </w:tc>
      </w:tr>
      <w:tr w14:paraId="04F3029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noWrap w:val="0"/>
            <w:vAlign w:val="center"/>
          </w:tcPr>
          <w:p w14:paraId="79772256">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处罚依据</w:t>
            </w:r>
          </w:p>
        </w:tc>
        <w:tc>
          <w:tcPr>
            <w:tcW w:w="7970" w:type="dxa"/>
            <w:gridSpan w:val="2"/>
            <w:noWrap w:val="0"/>
            <w:vAlign w:val="center"/>
          </w:tcPr>
          <w:p w14:paraId="2D7EC72C">
            <w:pPr>
              <w:spacing w:before="20" w:after="20" w:line="300" w:lineRule="auto"/>
              <w:rPr>
                <w:rFonts w:hint="eastAsia" w:ascii="宋体" w:hAnsi="宋体" w:eastAsia="宋体"/>
                <w:b/>
                <w:bCs/>
                <w:sz w:val="21"/>
                <w:szCs w:val="21"/>
              </w:rPr>
            </w:pPr>
            <w:r>
              <w:rPr>
                <w:rFonts w:ascii="宋体" w:hAnsi="宋体" w:eastAsia="宋体"/>
                <w:b/>
                <w:bCs/>
                <w:sz w:val="21"/>
                <w:szCs w:val="21"/>
              </w:rPr>
              <w:t>《碳排放权交易管理暂行条例》（2026修订版）第二十二条</w:t>
            </w:r>
            <w:r>
              <w:rPr>
                <w:rFonts w:hint="eastAsia" w:ascii="宋体" w:hAnsi="宋体" w:eastAsia="宋体"/>
                <w:b/>
                <w:bCs/>
                <w:sz w:val="21"/>
                <w:szCs w:val="21"/>
              </w:rPr>
              <w:t xml:space="preserve"> </w:t>
            </w:r>
            <w:r>
              <w:rPr>
                <w:rFonts w:ascii="宋体" w:hAnsi="宋体" w:eastAsia="宋体"/>
                <w:b/>
                <w:bCs/>
                <w:sz w:val="21"/>
                <w:szCs w:val="21"/>
              </w:rPr>
              <w:t>重点排放单位有下列情形之一的，由生态环境主管部门责令改正，没收违法所得，并处违法所得5倍以上10倍以下的罚款；没有违法所得或者违法所得不足50万元的，处50万元以上200万元以下的罚款；对其直接负责的主管人员和其他直接责任人员处5万元以上20万元以下的罚款；拒不改正的，按照50%以上100%以下的比例核减其下一年度碳排放配额，可以责令停产整治：</w:t>
            </w:r>
          </w:p>
          <w:p w14:paraId="7252AD55">
            <w:pPr>
              <w:spacing w:before="20" w:after="20" w:line="300" w:lineRule="auto"/>
              <w:rPr>
                <w:rFonts w:hint="eastAsia" w:ascii="宋体" w:hAnsi="宋体" w:eastAsia="宋体"/>
                <w:b/>
                <w:bCs/>
                <w:sz w:val="21"/>
                <w:szCs w:val="21"/>
              </w:rPr>
            </w:pPr>
            <w:r>
              <w:rPr>
                <w:rFonts w:ascii="宋体" w:hAnsi="宋体" w:eastAsia="宋体"/>
                <w:b/>
                <w:bCs/>
                <w:sz w:val="21"/>
                <w:szCs w:val="21"/>
              </w:rPr>
              <w:t>（一）未按照规定统计核算温室气体排放量；</w:t>
            </w:r>
          </w:p>
          <w:p w14:paraId="07C11667">
            <w:pPr>
              <w:spacing w:before="20" w:after="20" w:line="300" w:lineRule="auto"/>
              <w:rPr>
                <w:rFonts w:hint="eastAsia" w:ascii="宋体" w:hAnsi="宋体" w:eastAsia="宋体"/>
                <w:b/>
                <w:bCs/>
                <w:sz w:val="21"/>
                <w:szCs w:val="21"/>
              </w:rPr>
            </w:pPr>
            <w:r>
              <w:rPr>
                <w:rFonts w:ascii="宋体" w:hAnsi="宋体" w:eastAsia="宋体"/>
                <w:b/>
                <w:bCs/>
                <w:sz w:val="21"/>
                <w:szCs w:val="21"/>
              </w:rPr>
              <w:t>（二）编制的年度排放报告存在重大缺陷或者遗漏，在年度排放报告编制过程中篡改、伪造数据资料，使用虚假的数据资料或者实施其他弄虚作假行为；</w:t>
            </w:r>
          </w:p>
          <w:p w14:paraId="74354CBE">
            <w:pPr>
              <w:spacing w:before="20" w:after="20" w:line="300" w:lineRule="auto"/>
              <w:rPr>
                <w:rFonts w:hint="eastAsia" w:ascii="宋体" w:hAnsi="宋体" w:eastAsia="宋体"/>
                <w:b/>
                <w:bCs/>
                <w:sz w:val="21"/>
                <w:szCs w:val="21"/>
              </w:rPr>
            </w:pPr>
            <w:r>
              <w:rPr>
                <w:rFonts w:ascii="宋体" w:hAnsi="宋体" w:eastAsia="宋体"/>
                <w:b/>
                <w:bCs/>
                <w:sz w:val="21"/>
                <w:szCs w:val="21"/>
              </w:rPr>
              <w:t>（三）未按照规定制作和送检样品。</w:t>
            </w:r>
          </w:p>
        </w:tc>
      </w:tr>
      <w:tr w14:paraId="73B3B118">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noWrap w:val="0"/>
            <w:vAlign w:val="center"/>
          </w:tcPr>
          <w:p w14:paraId="00C07F4C">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裁量因素</w:t>
            </w:r>
          </w:p>
        </w:tc>
        <w:tc>
          <w:tcPr>
            <w:tcW w:w="6946" w:type="dxa"/>
            <w:noWrap w:val="0"/>
            <w:vAlign w:val="center"/>
          </w:tcPr>
          <w:p w14:paraId="103A7609">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裁量因子</w:t>
            </w:r>
          </w:p>
        </w:tc>
        <w:tc>
          <w:tcPr>
            <w:tcW w:w="1024" w:type="dxa"/>
            <w:noWrap w:val="0"/>
            <w:vAlign w:val="center"/>
          </w:tcPr>
          <w:p w14:paraId="26F80B6F">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裁量等级</w:t>
            </w:r>
          </w:p>
        </w:tc>
      </w:tr>
      <w:tr w14:paraId="5A40ED9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restart"/>
            <w:noWrap w:val="0"/>
            <w:vAlign w:val="center"/>
          </w:tcPr>
          <w:p w14:paraId="53D27763">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违法事实</w:t>
            </w:r>
          </w:p>
        </w:tc>
        <w:tc>
          <w:tcPr>
            <w:tcW w:w="6946" w:type="dxa"/>
            <w:noWrap w:val="0"/>
            <w:vAlign w:val="center"/>
          </w:tcPr>
          <w:p w14:paraId="79EFEFDD">
            <w:pPr>
              <w:spacing w:before="20" w:after="20" w:line="300" w:lineRule="auto"/>
              <w:rPr>
                <w:rFonts w:hint="eastAsia" w:ascii="宋体" w:hAnsi="宋体" w:eastAsia="宋体"/>
                <w:b/>
                <w:bCs/>
                <w:sz w:val="21"/>
                <w:szCs w:val="21"/>
              </w:rPr>
            </w:pPr>
            <w:r>
              <w:rPr>
                <w:rFonts w:ascii="宋体" w:hAnsi="宋体" w:eastAsia="宋体"/>
                <w:b/>
                <w:bCs/>
                <w:sz w:val="21"/>
                <w:szCs w:val="21"/>
              </w:rPr>
              <w:t>未按照规定制作和送检样品</w:t>
            </w:r>
          </w:p>
        </w:tc>
        <w:tc>
          <w:tcPr>
            <w:tcW w:w="1024" w:type="dxa"/>
            <w:noWrap w:val="0"/>
            <w:vAlign w:val="center"/>
          </w:tcPr>
          <w:p w14:paraId="00A41E91">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1</w:t>
            </w:r>
          </w:p>
        </w:tc>
      </w:tr>
      <w:tr w14:paraId="2D12CCB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top"/>
          </w:tcPr>
          <w:p w14:paraId="040B1711">
            <w:pPr>
              <w:spacing w:before="20" w:after="20" w:line="300" w:lineRule="auto"/>
              <w:jc w:val="center"/>
              <w:rPr>
                <w:rFonts w:hint="eastAsia" w:ascii="宋体" w:hAnsi="宋体" w:eastAsia="宋体"/>
                <w:b/>
                <w:bCs/>
                <w:sz w:val="21"/>
                <w:szCs w:val="21"/>
              </w:rPr>
            </w:pPr>
          </w:p>
        </w:tc>
        <w:tc>
          <w:tcPr>
            <w:tcW w:w="6946" w:type="dxa"/>
            <w:noWrap w:val="0"/>
            <w:vAlign w:val="center"/>
          </w:tcPr>
          <w:p w14:paraId="2470DA91">
            <w:pPr>
              <w:spacing w:before="20" w:after="20" w:line="300" w:lineRule="auto"/>
              <w:rPr>
                <w:rFonts w:hint="eastAsia" w:ascii="宋体" w:hAnsi="宋体" w:eastAsia="宋体"/>
                <w:b/>
                <w:bCs/>
                <w:sz w:val="21"/>
                <w:szCs w:val="21"/>
              </w:rPr>
            </w:pPr>
            <w:r>
              <w:rPr>
                <w:rFonts w:ascii="宋体" w:hAnsi="宋体" w:eastAsia="宋体"/>
                <w:b/>
                <w:bCs/>
                <w:sz w:val="21"/>
                <w:szCs w:val="21"/>
              </w:rPr>
              <w:t>未按照规定统计核算温室气体排放量</w:t>
            </w:r>
          </w:p>
        </w:tc>
        <w:tc>
          <w:tcPr>
            <w:tcW w:w="1024" w:type="dxa"/>
            <w:noWrap w:val="0"/>
            <w:vAlign w:val="center"/>
          </w:tcPr>
          <w:p w14:paraId="72D0A43A">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3</w:t>
            </w:r>
          </w:p>
        </w:tc>
      </w:tr>
      <w:tr w14:paraId="6FD1CDF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top"/>
          </w:tcPr>
          <w:p w14:paraId="6D9B8A8B">
            <w:pPr>
              <w:spacing w:before="20" w:after="20" w:line="300" w:lineRule="auto"/>
              <w:jc w:val="center"/>
              <w:rPr>
                <w:rFonts w:hint="eastAsia" w:ascii="宋体" w:hAnsi="宋体" w:eastAsia="宋体"/>
                <w:b/>
                <w:bCs/>
                <w:sz w:val="21"/>
                <w:szCs w:val="21"/>
              </w:rPr>
            </w:pPr>
          </w:p>
        </w:tc>
        <w:tc>
          <w:tcPr>
            <w:tcW w:w="6946" w:type="dxa"/>
            <w:noWrap w:val="0"/>
            <w:vAlign w:val="center"/>
          </w:tcPr>
          <w:p w14:paraId="747FB8C1">
            <w:pPr>
              <w:spacing w:before="20" w:after="20" w:line="300" w:lineRule="auto"/>
              <w:rPr>
                <w:rFonts w:hint="eastAsia" w:ascii="宋体" w:hAnsi="宋体" w:eastAsia="宋体"/>
                <w:b/>
                <w:bCs/>
                <w:sz w:val="21"/>
                <w:szCs w:val="21"/>
              </w:rPr>
            </w:pPr>
            <w:r>
              <w:rPr>
                <w:rFonts w:ascii="宋体" w:hAnsi="宋体" w:eastAsia="宋体"/>
                <w:b/>
                <w:bCs/>
                <w:sz w:val="21"/>
                <w:szCs w:val="21"/>
              </w:rPr>
              <w:t>年度排放报告存在重大缺陷或者遗漏</w:t>
            </w:r>
          </w:p>
        </w:tc>
        <w:tc>
          <w:tcPr>
            <w:tcW w:w="1024" w:type="dxa"/>
            <w:noWrap w:val="0"/>
            <w:vAlign w:val="center"/>
          </w:tcPr>
          <w:p w14:paraId="232E167B">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4</w:t>
            </w:r>
          </w:p>
        </w:tc>
      </w:tr>
      <w:tr w14:paraId="0D33CEE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top"/>
          </w:tcPr>
          <w:p w14:paraId="21B3A172">
            <w:pPr>
              <w:spacing w:before="20" w:after="20" w:line="300" w:lineRule="auto"/>
              <w:jc w:val="center"/>
              <w:rPr>
                <w:rFonts w:hint="eastAsia" w:ascii="宋体" w:hAnsi="宋体" w:eastAsia="宋体"/>
                <w:b/>
                <w:bCs/>
                <w:sz w:val="21"/>
                <w:szCs w:val="21"/>
              </w:rPr>
            </w:pPr>
          </w:p>
        </w:tc>
        <w:tc>
          <w:tcPr>
            <w:tcW w:w="6946" w:type="dxa"/>
            <w:noWrap w:val="0"/>
            <w:vAlign w:val="center"/>
          </w:tcPr>
          <w:p w14:paraId="14349D6E">
            <w:pPr>
              <w:spacing w:before="20" w:after="20" w:line="300" w:lineRule="auto"/>
              <w:rPr>
                <w:rFonts w:hint="eastAsia" w:ascii="宋体" w:hAnsi="宋体" w:eastAsia="宋体"/>
                <w:b/>
                <w:bCs/>
                <w:sz w:val="21"/>
                <w:szCs w:val="21"/>
              </w:rPr>
            </w:pPr>
            <w:r>
              <w:rPr>
                <w:rFonts w:ascii="宋体" w:hAnsi="宋体" w:eastAsia="宋体"/>
                <w:b/>
                <w:bCs/>
                <w:sz w:val="21"/>
                <w:szCs w:val="21"/>
              </w:rPr>
              <w:t>篡改、伪造数据资料，使用虚假数据资料或者实施其他弄虚作假行为</w:t>
            </w:r>
          </w:p>
        </w:tc>
        <w:tc>
          <w:tcPr>
            <w:tcW w:w="1024" w:type="dxa"/>
            <w:noWrap w:val="0"/>
            <w:vAlign w:val="center"/>
          </w:tcPr>
          <w:p w14:paraId="7EFFA144">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5</w:t>
            </w:r>
          </w:p>
        </w:tc>
      </w:tr>
      <w:tr w14:paraId="59AD8CF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restart"/>
            <w:noWrap w:val="0"/>
            <w:vAlign w:val="center"/>
          </w:tcPr>
          <w:p w14:paraId="6824240E">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造成后果</w:t>
            </w:r>
          </w:p>
        </w:tc>
        <w:tc>
          <w:tcPr>
            <w:tcW w:w="6946" w:type="dxa"/>
            <w:noWrap w:val="0"/>
            <w:vAlign w:val="center"/>
          </w:tcPr>
          <w:p w14:paraId="1A57A7B7">
            <w:pPr>
              <w:spacing w:before="20" w:after="20" w:line="300" w:lineRule="auto"/>
              <w:rPr>
                <w:rFonts w:hint="eastAsia" w:ascii="宋体" w:hAnsi="宋体" w:eastAsia="宋体"/>
                <w:b/>
                <w:bCs/>
                <w:sz w:val="21"/>
                <w:szCs w:val="21"/>
              </w:rPr>
            </w:pPr>
            <w:r>
              <w:rPr>
                <w:rFonts w:ascii="宋体" w:hAnsi="宋体" w:eastAsia="宋体"/>
                <w:b/>
                <w:bCs/>
                <w:sz w:val="21"/>
                <w:szCs w:val="21"/>
              </w:rPr>
              <w:t>未造成核查结果明显偏差</w:t>
            </w:r>
          </w:p>
        </w:tc>
        <w:tc>
          <w:tcPr>
            <w:tcW w:w="1024" w:type="dxa"/>
            <w:noWrap w:val="0"/>
            <w:vAlign w:val="center"/>
          </w:tcPr>
          <w:p w14:paraId="731A31EC">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1</w:t>
            </w:r>
          </w:p>
        </w:tc>
      </w:tr>
      <w:tr w14:paraId="7AD602F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top"/>
          </w:tcPr>
          <w:p w14:paraId="41D12C8B">
            <w:pPr>
              <w:spacing w:before="20" w:after="20" w:line="300" w:lineRule="auto"/>
              <w:jc w:val="center"/>
              <w:rPr>
                <w:rFonts w:hint="eastAsia" w:ascii="宋体" w:hAnsi="宋体" w:eastAsia="宋体"/>
                <w:b/>
                <w:bCs/>
                <w:sz w:val="21"/>
                <w:szCs w:val="21"/>
              </w:rPr>
            </w:pPr>
          </w:p>
        </w:tc>
        <w:tc>
          <w:tcPr>
            <w:tcW w:w="6946" w:type="dxa"/>
            <w:noWrap w:val="0"/>
            <w:vAlign w:val="center"/>
          </w:tcPr>
          <w:p w14:paraId="54E983CD">
            <w:pPr>
              <w:spacing w:before="20" w:after="20" w:line="300" w:lineRule="auto"/>
              <w:rPr>
                <w:rFonts w:hint="eastAsia" w:ascii="宋体" w:hAnsi="宋体" w:eastAsia="宋体"/>
                <w:b/>
                <w:bCs/>
                <w:sz w:val="21"/>
                <w:szCs w:val="21"/>
              </w:rPr>
            </w:pPr>
            <w:r>
              <w:rPr>
                <w:rFonts w:ascii="宋体" w:hAnsi="宋体" w:eastAsia="宋体"/>
                <w:b/>
                <w:bCs/>
                <w:sz w:val="21"/>
                <w:szCs w:val="21"/>
              </w:rPr>
              <w:t>造成核查结果偏差，但不影响配额分配、清缴</w:t>
            </w:r>
          </w:p>
        </w:tc>
        <w:tc>
          <w:tcPr>
            <w:tcW w:w="1024" w:type="dxa"/>
            <w:noWrap w:val="0"/>
            <w:vAlign w:val="center"/>
          </w:tcPr>
          <w:p w14:paraId="16E1D9D0">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3</w:t>
            </w:r>
          </w:p>
        </w:tc>
      </w:tr>
      <w:tr w14:paraId="3D8B629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tcBorders>
              <w:bottom w:val="single" w:color="auto" w:sz="4" w:space="0"/>
            </w:tcBorders>
            <w:noWrap w:val="0"/>
            <w:vAlign w:val="top"/>
          </w:tcPr>
          <w:p w14:paraId="1B709AA2">
            <w:pPr>
              <w:spacing w:before="20" w:after="20" w:line="300" w:lineRule="auto"/>
              <w:rPr>
                <w:rFonts w:hint="eastAsia" w:ascii="宋体" w:hAnsi="宋体" w:eastAsia="宋体"/>
                <w:b/>
                <w:bCs/>
                <w:sz w:val="21"/>
                <w:szCs w:val="21"/>
              </w:rPr>
            </w:pPr>
          </w:p>
        </w:tc>
        <w:tc>
          <w:tcPr>
            <w:tcW w:w="6946" w:type="dxa"/>
            <w:tcBorders>
              <w:bottom w:val="single" w:color="auto" w:sz="4" w:space="0"/>
            </w:tcBorders>
            <w:noWrap w:val="0"/>
            <w:vAlign w:val="center"/>
          </w:tcPr>
          <w:p w14:paraId="64D403DE">
            <w:pPr>
              <w:spacing w:before="20" w:after="20" w:line="300" w:lineRule="auto"/>
              <w:rPr>
                <w:rFonts w:hint="eastAsia" w:ascii="宋体" w:hAnsi="宋体" w:eastAsia="宋体"/>
                <w:b/>
                <w:bCs/>
                <w:sz w:val="21"/>
                <w:szCs w:val="21"/>
              </w:rPr>
            </w:pPr>
            <w:r>
              <w:rPr>
                <w:rFonts w:ascii="宋体" w:hAnsi="宋体" w:eastAsia="宋体"/>
                <w:b/>
                <w:bCs/>
                <w:sz w:val="21"/>
                <w:szCs w:val="21"/>
              </w:rPr>
              <w:t>影响配额分配或者清缴</w:t>
            </w:r>
          </w:p>
        </w:tc>
        <w:tc>
          <w:tcPr>
            <w:tcW w:w="1024" w:type="dxa"/>
            <w:tcBorders>
              <w:bottom w:val="single" w:color="auto" w:sz="4" w:space="0"/>
            </w:tcBorders>
            <w:noWrap w:val="0"/>
            <w:vAlign w:val="center"/>
          </w:tcPr>
          <w:p w14:paraId="1FFBE608">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5</w:t>
            </w:r>
          </w:p>
        </w:tc>
      </w:tr>
      <w:tr w14:paraId="4938A05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restart"/>
            <w:tcBorders>
              <w:top w:val="single" w:color="auto" w:sz="4" w:space="0"/>
            </w:tcBorders>
            <w:noWrap w:val="0"/>
            <w:vAlign w:val="center"/>
          </w:tcPr>
          <w:p w14:paraId="34D46738">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违法所得</w:t>
            </w:r>
          </w:p>
          <w:p w14:paraId="2F5B35E7">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金额</w:t>
            </w:r>
          </w:p>
        </w:tc>
        <w:tc>
          <w:tcPr>
            <w:tcW w:w="6946" w:type="dxa"/>
            <w:tcBorders>
              <w:top w:val="single" w:color="auto" w:sz="4" w:space="0"/>
              <w:bottom w:val="single" w:color="auto" w:sz="4" w:space="0"/>
            </w:tcBorders>
            <w:noWrap w:val="0"/>
            <w:vAlign w:val="center"/>
          </w:tcPr>
          <w:p w14:paraId="326674D6">
            <w:pPr>
              <w:spacing w:before="20" w:after="20" w:line="300" w:lineRule="auto"/>
              <w:rPr>
                <w:rFonts w:hint="eastAsia" w:ascii="宋体" w:hAnsi="宋体" w:eastAsia="宋体"/>
                <w:b/>
                <w:bCs/>
                <w:sz w:val="21"/>
                <w:szCs w:val="21"/>
              </w:rPr>
            </w:pPr>
            <w:r>
              <w:rPr>
                <w:rFonts w:hint="eastAsia" w:ascii="宋体" w:hAnsi="宋体" w:eastAsia="宋体"/>
                <w:b/>
                <w:bCs/>
                <w:sz w:val="21"/>
                <w:szCs w:val="21"/>
              </w:rPr>
              <w:t>不足50万元</w:t>
            </w:r>
          </w:p>
        </w:tc>
        <w:tc>
          <w:tcPr>
            <w:tcW w:w="1024" w:type="dxa"/>
            <w:tcBorders>
              <w:top w:val="single" w:color="auto" w:sz="4" w:space="0"/>
              <w:bottom w:val="single" w:color="auto" w:sz="4" w:space="0"/>
            </w:tcBorders>
            <w:noWrap w:val="0"/>
            <w:vAlign w:val="center"/>
          </w:tcPr>
          <w:p w14:paraId="1EDEE7B6">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1</w:t>
            </w:r>
          </w:p>
        </w:tc>
      </w:tr>
      <w:tr w14:paraId="07E7F89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center"/>
          </w:tcPr>
          <w:p w14:paraId="7F76943E">
            <w:pPr>
              <w:spacing w:before="20" w:after="20" w:line="300" w:lineRule="auto"/>
              <w:rPr>
                <w:rFonts w:hint="eastAsia" w:ascii="宋体" w:hAnsi="宋体" w:eastAsia="宋体"/>
                <w:b/>
                <w:bCs/>
                <w:sz w:val="21"/>
                <w:szCs w:val="21"/>
              </w:rPr>
            </w:pPr>
          </w:p>
        </w:tc>
        <w:tc>
          <w:tcPr>
            <w:tcW w:w="6946" w:type="dxa"/>
            <w:tcBorders>
              <w:top w:val="single" w:color="auto" w:sz="4" w:space="0"/>
              <w:bottom w:val="single" w:color="auto" w:sz="4" w:space="0"/>
            </w:tcBorders>
            <w:noWrap w:val="0"/>
            <w:vAlign w:val="center"/>
          </w:tcPr>
          <w:p w14:paraId="5B948C0D">
            <w:pPr>
              <w:spacing w:before="20" w:after="20" w:line="300" w:lineRule="auto"/>
              <w:rPr>
                <w:rFonts w:hint="eastAsia" w:ascii="宋体" w:hAnsi="宋体" w:eastAsia="宋体"/>
                <w:b/>
                <w:bCs/>
                <w:sz w:val="21"/>
                <w:szCs w:val="21"/>
              </w:rPr>
            </w:pPr>
            <w:r>
              <w:rPr>
                <w:rFonts w:hint="eastAsia" w:ascii="宋体" w:hAnsi="宋体" w:eastAsia="宋体"/>
                <w:b/>
                <w:bCs/>
                <w:sz w:val="21"/>
                <w:szCs w:val="21"/>
              </w:rPr>
              <w:t>5</w:t>
            </w:r>
            <w:r>
              <w:rPr>
                <w:rFonts w:ascii="宋体" w:hAnsi="宋体" w:eastAsia="宋体"/>
                <w:b/>
                <w:bCs/>
                <w:sz w:val="21"/>
                <w:szCs w:val="21"/>
              </w:rPr>
              <w:t>0万元以上不足</w:t>
            </w:r>
            <w:r>
              <w:rPr>
                <w:rFonts w:hint="eastAsia" w:ascii="宋体" w:hAnsi="宋体" w:eastAsia="宋体"/>
                <w:b/>
                <w:bCs/>
                <w:sz w:val="21"/>
                <w:szCs w:val="21"/>
              </w:rPr>
              <w:t>1</w:t>
            </w:r>
            <w:r>
              <w:rPr>
                <w:rFonts w:ascii="宋体" w:hAnsi="宋体" w:eastAsia="宋体"/>
                <w:b/>
                <w:bCs/>
                <w:sz w:val="21"/>
                <w:szCs w:val="21"/>
              </w:rPr>
              <w:t>00万元</w:t>
            </w:r>
          </w:p>
        </w:tc>
        <w:tc>
          <w:tcPr>
            <w:tcW w:w="1024" w:type="dxa"/>
            <w:tcBorders>
              <w:top w:val="single" w:color="auto" w:sz="4" w:space="0"/>
              <w:bottom w:val="single" w:color="auto" w:sz="4" w:space="0"/>
            </w:tcBorders>
            <w:noWrap w:val="0"/>
            <w:vAlign w:val="center"/>
          </w:tcPr>
          <w:p w14:paraId="1E5F773F">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2</w:t>
            </w:r>
          </w:p>
        </w:tc>
      </w:tr>
      <w:tr w14:paraId="08963962">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center"/>
          </w:tcPr>
          <w:p w14:paraId="249D1DA6">
            <w:pPr>
              <w:spacing w:before="20" w:after="20" w:line="300" w:lineRule="auto"/>
              <w:rPr>
                <w:rFonts w:hint="eastAsia" w:ascii="宋体" w:hAnsi="宋体" w:eastAsia="宋体"/>
                <w:b/>
                <w:bCs/>
                <w:sz w:val="21"/>
                <w:szCs w:val="21"/>
              </w:rPr>
            </w:pPr>
          </w:p>
        </w:tc>
        <w:tc>
          <w:tcPr>
            <w:tcW w:w="6946" w:type="dxa"/>
            <w:tcBorders>
              <w:top w:val="single" w:color="auto" w:sz="4" w:space="0"/>
              <w:bottom w:val="single" w:color="auto" w:sz="4" w:space="0"/>
            </w:tcBorders>
            <w:noWrap w:val="0"/>
            <w:vAlign w:val="center"/>
          </w:tcPr>
          <w:p w14:paraId="53315326">
            <w:pPr>
              <w:spacing w:before="20" w:after="20" w:line="300" w:lineRule="auto"/>
              <w:rPr>
                <w:rFonts w:hint="eastAsia" w:ascii="宋体" w:hAnsi="宋体" w:eastAsia="宋体"/>
                <w:b/>
                <w:bCs/>
                <w:sz w:val="21"/>
                <w:szCs w:val="21"/>
              </w:rPr>
            </w:pPr>
            <w:r>
              <w:rPr>
                <w:rFonts w:ascii="Times New Roman" w:hAnsi="Times New Roman"/>
                <w:b/>
                <w:bCs/>
              </w:rPr>
              <w:t>100万元以上</w:t>
            </w:r>
            <w:r>
              <w:rPr>
                <w:rFonts w:hint="eastAsia" w:ascii="Times New Roman" w:hAnsi="Times New Roman"/>
                <w:b/>
                <w:bCs/>
              </w:rPr>
              <w:t>不足2</w:t>
            </w:r>
            <w:r>
              <w:rPr>
                <w:rFonts w:ascii="Times New Roman" w:hAnsi="Times New Roman"/>
                <w:b/>
                <w:bCs/>
              </w:rPr>
              <w:t>00万元</w:t>
            </w:r>
          </w:p>
        </w:tc>
        <w:tc>
          <w:tcPr>
            <w:tcW w:w="1024" w:type="dxa"/>
            <w:tcBorders>
              <w:top w:val="single" w:color="auto" w:sz="4" w:space="0"/>
              <w:bottom w:val="single" w:color="auto" w:sz="4" w:space="0"/>
            </w:tcBorders>
            <w:noWrap w:val="0"/>
            <w:vAlign w:val="center"/>
          </w:tcPr>
          <w:p w14:paraId="2483139A">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3</w:t>
            </w:r>
          </w:p>
        </w:tc>
      </w:tr>
      <w:tr w14:paraId="6B93D83E">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center"/>
          </w:tcPr>
          <w:p w14:paraId="0FFCBDDD">
            <w:pPr>
              <w:spacing w:before="20" w:after="20" w:line="300" w:lineRule="auto"/>
              <w:rPr>
                <w:rFonts w:hint="eastAsia" w:ascii="宋体" w:hAnsi="宋体" w:eastAsia="宋体"/>
                <w:b/>
                <w:bCs/>
                <w:sz w:val="21"/>
                <w:szCs w:val="21"/>
              </w:rPr>
            </w:pPr>
          </w:p>
        </w:tc>
        <w:tc>
          <w:tcPr>
            <w:tcW w:w="6946" w:type="dxa"/>
            <w:tcBorders>
              <w:top w:val="single" w:color="auto" w:sz="4" w:space="0"/>
              <w:bottom w:val="single" w:color="auto" w:sz="4" w:space="0"/>
            </w:tcBorders>
            <w:noWrap w:val="0"/>
            <w:vAlign w:val="center"/>
          </w:tcPr>
          <w:p w14:paraId="05BD2AFE">
            <w:pPr>
              <w:spacing w:before="20" w:after="20" w:line="300" w:lineRule="auto"/>
              <w:rPr>
                <w:rFonts w:hint="eastAsia" w:ascii="宋体" w:hAnsi="宋体" w:eastAsia="宋体"/>
                <w:b/>
                <w:bCs/>
                <w:sz w:val="21"/>
                <w:szCs w:val="21"/>
              </w:rPr>
            </w:pPr>
            <w:r>
              <w:rPr>
                <w:rFonts w:hint="eastAsia" w:ascii="Times New Roman" w:hAnsi="Times New Roman"/>
                <w:b/>
                <w:bCs/>
              </w:rPr>
              <w:t>2</w:t>
            </w:r>
            <w:r>
              <w:rPr>
                <w:rFonts w:ascii="Times New Roman" w:hAnsi="Times New Roman"/>
                <w:b/>
                <w:bCs/>
              </w:rPr>
              <w:t>00万元以上</w:t>
            </w:r>
            <w:r>
              <w:rPr>
                <w:rFonts w:hint="eastAsia" w:ascii="Times New Roman" w:hAnsi="Times New Roman"/>
                <w:b/>
                <w:bCs/>
              </w:rPr>
              <w:t>不足</w:t>
            </w:r>
            <w:r>
              <w:rPr>
                <w:rFonts w:ascii="Times New Roman" w:hAnsi="Times New Roman"/>
                <w:b/>
                <w:bCs/>
              </w:rPr>
              <w:t>500万元</w:t>
            </w:r>
          </w:p>
        </w:tc>
        <w:tc>
          <w:tcPr>
            <w:tcW w:w="1024" w:type="dxa"/>
            <w:tcBorders>
              <w:top w:val="single" w:color="auto" w:sz="4" w:space="0"/>
              <w:bottom w:val="single" w:color="auto" w:sz="4" w:space="0"/>
            </w:tcBorders>
            <w:noWrap w:val="0"/>
            <w:vAlign w:val="center"/>
          </w:tcPr>
          <w:p w14:paraId="28D64943">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4</w:t>
            </w:r>
          </w:p>
        </w:tc>
      </w:tr>
      <w:tr w14:paraId="7412FF5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tcBorders>
              <w:bottom w:val="single" w:color="auto" w:sz="6" w:space="0"/>
            </w:tcBorders>
            <w:noWrap w:val="0"/>
            <w:vAlign w:val="center"/>
          </w:tcPr>
          <w:p w14:paraId="3C45E47A">
            <w:pPr>
              <w:spacing w:before="20" w:after="20" w:line="300" w:lineRule="auto"/>
              <w:rPr>
                <w:rFonts w:hint="eastAsia" w:ascii="宋体" w:hAnsi="宋体" w:eastAsia="宋体"/>
                <w:b/>
                <w:bCs/>
                <w:sz w:val="21"/>
                <w:szCs w:val="21"/>
              </w:rPr>
            </w:pPr>
          </w:p>
        </w:tc>
        <w:tc>
          <w:tcPr>
            <w:tcW w:w="6946" w:type="dxa"/>
            <w:tcBorders>
              <w:top w:val="single" w:color="auto" w:sz="4" w:space="0"/>
              <w:bottom w:val="single" w:color="auto" w:sz="6" w:space="0"/>
            </w:tcBorders>
            <w:noWrap w:val="0"/>
            <w:vAlign w:val="center"/>
          </w:tcPr>
          <w:p w14:paraId="31403615">
            <w:pPr>
              <w:spacing w:before="20" w:after="20" w:line="300" w:lineRule="auto"/>
              <w:rPr>
                <w:rFonts w:hint="eastAsia" w:ascii="宋体" w:hAnsi="宋体" w:eastAsia="宋体"/>
                <w:b/>
                <w:bCs/>
                <w:sz w:val="21"/>
                <w:szCs w:val="21"/>
              </w:rPr>
            </w:pPr>
            <w:r>
              <w:rPr>
                <w:rFonts w:hint="eastAsia" w:ascii="宋体" w:hAnsi="宋体" w:eastAsia="宋体"/>
                <w:b/>
                <w:bCs/>
                <w:sz w:val="21"/>
                <w:szCs w:val="21"/>
              </w:rPr>
              <w:t>500万元以上</w:t>
            </w:r>
          </w:p>
        </w:tc>
        <w:tc>
          <w:tcPr>
            <w:tcW w:w="1024" w:type="dxa"/>
            <w:tcBorders>
              <w:top w:val="single" w:color="auto" w:sz="4" w:space="0"/>
              <w:bottom w:val="single" w:color="auto" w:sz="6" w:space="0"/>
            </w:tcBorders>
            <w:noWrap w:val="0"/>
            <w:vAlign w:val="center"/>
          </w:tcPr>
          <w:p w14:paraId="0D701ECE">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5</w:t>
            </w:r>
          </w:p>
        </w:tc>
      </w:tr>
    </w:tbl>
    <w:p w14:paraId="3CF2844B">
      <w:pPr>
        <w:spacing w:after="120" w:afterLines="50" w:line="480" w:lineRule="exact"/>
        <w:rPr>
          <w:rFonts w:ascii="Times New Roman" w:hAnsi="Times New Roman" w:eastAsia="黑体"/>
          <w:sz w:val="28"/>
          <w:szCs w:val="28"/>
        </w:rPr>
      </w:pPr>
      <w:r>
        <w:rPr>
          <w:rFonts w:ascii="Times New Roman" w:hAnsi="Times New Roman" w:eastAsia="黑体"/>
          <w:sz w:val="28"/>
          <w:szCs w:val="28"/>
        </w:rPr>
        <w:t>（</w:t>
      </w:r>
      <w:r>
        <w:rPr>
          <w:rFonts w:hint="eastAsia" w:ascii="Times New Roman" w:hAnsi="Times New Roman" w:eastAsia="黑体"/>
          <w:sz w:val="28"/>
          <w:szCs w:val="28"/>
        </w:rPr>
        <w:t>九</w:t>
      </w:r>
      <w:r>
        <w:rPr>
          <w:rFonts w:ascii="Times New Roman" w:hAnsi="Times New Roman" w:eastAsia="黑体"/>
          <w:sz w:val="28"/>
          <w:szCs w:val="28"/>
        </w:rPr>
        <w:t>）</w:t>
      </w:r>
      <w:r>
        <w:rPr>
          <w:rFonts w:hint="eastAsia" w:ascii="Times New Roman" w:hAnsi="Times New Roman" w:eastAsia="黑体"/>
          <w:sz w:val="28"/>
          <w:szCs w:val="28"/>
        </w:rPr>
        <w:t>其他环境违法</w:t>
      </w:r>
      <w:r>
        <w:rPr>
          <w:rFonts w:ascii="Times New Roman" w:hAnsi="Times New Roman" w:eastAsia="黑体"/>
          <w:sz w:val="28"/>
          <w:szCs w:val="28"/>
        </w:rPr>
        <w:t>行为</w:t>
      </w:r>
    </w:p>
    <w:p w14:paraId="53CB44FB">
      <w:pPr>
        <w:spacing w:before="40" w:after="40" w:line="400" w:lineRule="auto"/>
        <w:jc w:val="both"/>
        <w:rPr>
          <w:rFonts w:ascii="Times New Roman" w:hAnsi="Times New Roman" w:eastAsia="黑体"/>
          <w:b/>
          <w:sz w:val="24"/>
        </w:rPr>
      </w:pPr>
      <w:r>
        <w:rPr>
          <w:rFonts w:hint="eastAsia" w:ascii="Times New Roman" w:hAnsi="Times New Roman" w:eastAsia="黑体"/>
          <w:b/>
          <w:sz w:val="24"/>
        </w:rPr>
        <w:t>1</w:t>
      </w:r>
      <w:r>
        <w:rPr>
          <w:rFonts w:ascii="Times New Roman" w:hAnsi="Times New Roman" w:eastAsia="黑体"/>
          <w:b/>
          <w:sz w:val="24"/>
        </w:rPr>
        <w:t>.拒绝、阻挠监督检查和突发生态环境事件调查处理，或者在接受监督检查和调查处理时弄虚作假或者拒不提供必要资料的行为</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44"/>
        <w:gridCol w:w="6897"/>
        <w:gridCol w:w="1099"/>
      </w:tblGrid>
      <w:tr w14:paraId="7991C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626" w:type="pct"/>
            <w:noWrap w:val="0"/>
            <w:tcMar>
              <w:top w:w="0" w:type="dxa"/>
              <w:left w:w="57" w:type="dxa"/>
              <w:bottom w:w="0" w:type="dxa"/>
              <w:right w:w="57" w:type="dxa"/>
            </w:tcMar>
            <w:vAlign w:val="center"/>
          </w:tcPr>
          <w:p w14:paraId="3D902BBF">
            <w:pPr>
              <w:spacing w:before="20" w:after="20" w:line="300" w:lineRule="auto"/>
              <w:jc w:val="center"/>
              <w:rPr>
                <w:rFonts w:hint="eastAsia" w:ascii="宋体" w:hAnsi="宋体" w:eastAsia="宋体"/>
                <w:b/>
                <w:sz w:val="21"/>
                <w:szCs w:val="21"/>
              </w:rPr>
            </w:pPr>
            <w:r>
              <w:rPr>
                <w:rFonts w:ascii="宋体" w:hAnsi="宋体" w:eastAsia="宋体"/>
                <w:b/>
                <w:sz w:val="21"/>
                <w:szCs w:val="21"/>
              </w:rPr>
              <w:t>违反条款</w:t>
            </w:r>
          </w:p>
        </w:tc>
        <w:tc>
          <w:tcPr>
            <w:tcW w:w="4374" w:type="pct"/>
            <w:gridSpan w:val="2"/>
            <w:noWrap w:val="0"/>
            <w:tcMar>
              <w:top w:w="0" w:type="dxa"/>
              <w:left w:w="57" w:type="dxa"/>
              <w:bottom w:w="0" w:type="dxa"/>
              <w:right w:w="57" w:type="dxa"/>
            </w:tcMar>
            <w:vAlign w:val="top"/>
          </w:tcPr>
          <w:p w14:paraId="637A58AF">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kern w:val="2"/>
                <w:sz w:val="21"/>
                <w:szCs w:val="21"/>
              </w:rPr>
            </w:pPr>
            <w:r>
              <w:rPr>
                <w:rFonts w:cs="Times New Roman"/>
                <w:kern w:val="2"/>
                <w:sz w:val="21"/>
                <w:szCs w:val="21"/>
              </w:rPr>
              <w:t>1.《中华人民共和国生态环境法典》第五十一条 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w:t>
            </w:r>
          </w:p>
          <w:p w14:paraId="1DD9E2F4">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kern w:val="2"/>
                <w:sz w:val="21"/>
                <w:szCs w:val="21"/>
              </w:rPr>
            </w:pPr>
            <w:r>
              <w:rPr>
                <w:rFonts w:hint="eastAsia" w:cs="Times New Roman"/>
                <w:kern w:val="2"/>
                <w:sz w:val="21"/>
                <w:szCs w:val="21"/>
              </w:rPr>
              <w:t>第一百二十一条第二款 企业事业单位和其他生产经营者应当按照国家规定储备必要的生态环境应急物资和装备，定期开展应急演练，做好应急准备。在发生或者可能发生突发生态环境事件时，企业事业单位和其他生产经营者应当立即采取措施处理，切断或者控制污染源，防止危害扩大，及时通报可能受到危害者，并向生态环境、应急管理等有关部门报告，接受调查处理。</w:t>
            </w:r>
          </w:p>
          <w:p w14:paraId="0F3E10B7">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kern w:val="2"/>
                <w:sz w:val="21"/>
                <w:szCs w:val="21"/>
              </w:rPr>
            </w:pPr>
            <w:r>
              <w:rPr>
                <w:rFonts w:cs="Times New Roman"/>
                <w:kern w:val="2"/>
                <w:sz w:val="21"/>
                <w:szCs w:val="21"/>
              </w:rPr>
              <w:t>2.</w:t>
            </w:r>
            <w:r>
              <w:rPr>
                <w:rFonts w:hint="eastAsia" w:cs="Times New Roman"/>
                <w:kern w:val="2"/>
                <w:sz w:val="21"/>
                <w:szCs w:val="21"/>
              </w:rPr>
              <w:t>《消耗臭氧层物质管理条例》</w:t>
            </w:r>
            <w:r>
              <w:rPr>
                <w:rFonts w:cs="Times New Roman"/>
                <w:kern w:val="2"/>
                <w:sz w:val="21"/>
                <w:szCs w:val="21"/>
              </w:rPr>
              <w:t>（2026修订版）第</w:t>
            </w:r>
            <w:r>
              <w:rPr>
                <w:rFonts w:hint="eastAsia" w:cs="Times New Roman"/>
                <w:kern w:val="2"/>
                <w:sz w:val="21"/>
                <w:szCs w:val="21"/>
              </w:rPr>
              <w:t>二十五</w:t>
            </w:r>
            <w:r>
              <w:rPr>
                <w:rFonts w:cs="Times New Roman"/>
                <w:kern w:val="2"/>
                <w:sz w:val="21"/>
                <w:szCs w:val="21"/>
              </w:rPr>
              <w:t xml:space="preserve">条 </w:t>
            </w:r>
            <w:r>
              <w:rPr>
                <w:rFonts w:hint="eastAsia" w:cs="Times New Roman"/>
                <w:kern w:val="2"/>
                <w:sz w:val="21"/>
                <w:szCs w:val="21"/>
              </w:rPr>
              <w:t>生态环境主管部门和其他有关部门进行监督检查，有权采取下列措施：</w:t>
            </w:r>
          </w:p>
          <w:p w14:paraId="70E7B80B">
            <w:pPr>
              <w:pStyle w:val="20"/>
              <w:suppressAutoHyphens/>
              <w:autoSpaceDE w:val="0"/>
              <w:autoSpaceDN w:val="0"/>
              <w:adjustRightInd w:val="0"/>
              <w:snapToGrid w:val="0"/>
              <w:spacing w:before="20" w:after="20" w:line="300" w:lineRule="auto"/>
              <w:ind w:left="0" w:right="0" w:rightChars="0" w:hanging="50"/>
              <w:textAlignment w:val="baseline"/>
              <w:rPr>
                <w:rFonts w:hint="eastAsia" w:cs="Times New Roman"/>
                <w:kern w:val="2"/>
                <w:sz w:val="21"/>
                <w:szCs w:val="21"/>
              </w:rPr>
            </w:pPr>
            <w:r>
              <w:rPr>
                <w:rFonts w:hint="eastAsia" w:cs="Times New Roman"/>
                <w:kern w:val="2"/>
                <w:sz w:val="21"/>
                <w:szCs w:val="21"/>
              </w:rPr>
              <w:t>（一）要求被检查单位提供有关资料；</w:t>
            </w:r>
          </w:p>
          <w:p w14:paraId="05F94F7C">
            <w:pPr>
              <w:pStyle w:val="20"/>
              <w:suppressAutoHyphens/>
              <w:autoSpaceDE w:val="0"/>
              <w:autoSpaceDN w:val="0"/>
              <w:adjustRightInd w:val="0"/>
              <w:snapToGrid w:val="0"/>
              <w:spacing w:before="20" w:after="20" w:line="300" w:lineRule="auto"/>
              <w:ind w:left="0" w:right="0" w:rightChars="0" w:hanging="50"/>
              <w:textAlignment w:val="baseline"/>
              <w:rPr>
                <w:rFonts w:hint="eastAsia" w:cs="Times New Roman"/>
                <w:kern w:val="2"/>
                <w:sz w:val="21"/>
                <w:szCs w:val="21"/>
              </w:rPr>
            </w:pPr>
            <w:r>
              <w:rPr>
                <w:rFonts w:hint="eastAsia" w:cs="Times New Roman"/>
                <w:kern w:val="2"/>
                <w:sz w:val="21"/>
                <w:szCs w:val="21"/>
              </w:rPr>
              <w:t>（二）要求被检查单位就执行本条例规定的有关情况作出说明；</w:t>
            </w:r>
          </w:p>
          <w:p w14:paraId="74B16BBB">
            <w:pPr>
              <w:pStyle w:val="20"/>
              <w:suppressAutoHyphens/>
              <w:autoSpaceDE w:val="0"/>
              <w:autoSpaceDN w:val="0"/>
              <w:adjustRightInd w:val="0"/>
              <w:snapToGrid w:val="0"/>
              <w:spacing w:before="20" w:after="20" w:line="300" w:lineRule="auto"/>
              <w:ind w:left="0" w:right="0" w:rightChars="0" w:hanging="50"/>
              <w:textAlignment w:val="baseline"/>
              <w:rPr>
                <w:rFonts w:hint="eastAsia" w:cs="Times New Roman"/>
                <w:kern w:val="2"/>
                <w:sz w:val="21"/>
                <w:szCs w:val="21"/>
              </w:rPr>
            </w:pPr>
            <w:r>
              <w:rPr>
                <w:rFonts w:hint="eastAsia" w:cs="Times New Roman"/>
                <w:kern w:val="2"/>
                <w:sz w:val="21"/>
                <w:szCs w:val="21"/>
              </w:rPr>
              <w:t>（三）进入被检查单位的生产、经营、储存场所进行调查和取证；</w:t>
            </w:r>
          </w:p>
          <w:p w14:paraId="6CB1AB17">
            <w:pPr>
              <w:pStyle w:val="20"/>
              <w:suppressAutoHyphens/>
              <w:autoSpaceDE w:val="0"/>
              <w:autoSpaceDN w:val="0"/>
              <w:adjustRightInd w:val="0"/>
              <w:snapToGrid w:val="0"/>
              <w:spacing w:before="20" w:after="20" w:line="300" w:lineRule="auto"/>
              <w:ind w:left="0" w:right="0" w:rightChars="0" w:hanging="50"/>
              <w:textAlignment w:val="baseline"/>
              <w:rPr>
                <w:rFonts w:hint="eastAsia" w:cs="Times New Roman"/>
                <w:kern w:val="2"/>
                <w:sz w:val="21"/>
                <w:szCs w:val="21"/>
              </w:rPr>
            </w:pPr>
            <w:r>
              <w:rPr>
                <w:rFonts w:hint="eastAsia" w:cs="Times New Roman"/>
                <w:kern w:val="2"/>
                <w:sz w:val="21"/>
                <w:szCs w:val="21"/>
              </w:rPr>
              <w:t>（四）责令被检查单位停止违反本条例规定的行为，履行法定义务；</w:t>
            </w:r>
          </w:p>
          <w:p w14:paraId="33C1F588">
            <w:pPr>
              <w:pStyle w:val="20"/>
              <w:suppressAutoHyphens/>
              <w:autoSpaceDE w:val="0"/>
              <w:autoSpaceDN w:val="0"/>
              <w:adjustRightInd w:val="0"/>
              <w:snapToGrid w:val="0"/>
              <w:spacing w:before="20" w:after="20" w:line="300" w:lineRule="auto"/>
              <w:ind w:left="0" w:right="0" w:rightChars="0" w:hanging="50"/>
              <w:textAlignment w:val="baseline"/>
              <w:rPr>
                <w:rFonts w:hint="eastAsia" w:cs="Times New Roman"/>
                <w:kern w:val="2"/>
                <w:sz w:val="21"/>
                <w:szCs w:val="21"/>
              </w:rPr>
            </w:pPr>
            <w:r>
              <w:rPr>
                <w:rFonts w:hint="eastAsia" w:cs="Times New Roman"/>
                <w:kern w:val="2"/>
                <w:sz w:val="21"/>
                <w:szCs w:val="21"/>
              </w:rPr>
              <w:t>（五）扣押、查封违法生产、销售、使用、进出口的消耗臭氧层物质及其生产设备、设施、原料及产品。</w:t>
            </w:r>
          </w:p>
          <w:p w14:paraId="57E1BA2E">
            <w:pPr>
              <w:pStyle w:val="20"/>
              <w:suppressAutoHyphens/>
              <w:autoSpaceDE w:val="0"/>
              <w:autoSpaceDN w:val="0"/>
              <w:adjustRightInd w:val="0"/>
              <w:snapToGrid w:val="0"/>
              <w:spacing w:before="20" w:after="20" w:line="300" w:lineRule="auto"/>
              <w:ind w:left="0" w:right="0" w:rightChars="0" w:hanging="50"/>
              <w:textAlignment w:val="baseline"/>
              <w:rPr>
                <w:rFonts w:hint="eastAsia" w:cs="Times New Roman"/>
                <w:kern w:val="2"/>
                <w:sz w:val="21"/>
                <w:szCs w:val="21"/>
              </w:rPr>
            </w:pPr>
            <w:r>
              <w:rPr>
                <w:rFonts w:hint="eastAsia" w:cs="Times New Roman"/>
                <w:kern w:val="2"/>
                <w:sz w:val="21"/>
                <w:szCs w:val="21"/>
              </w:rPr>
              <w:t>被检查单位应当予以配合，如实反映情况，提供必要资料，不得拒绝和阻碍。</w:t>
            </w:r>
          </w:p>
          <w:p w14:paraId="16454122">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kern w:val="2"/>
                <w:sz w:val="21"/>
                <w:szCs w:val="21"/>
              </w:rPr>
            </w:pPr>
            <w:r>
              <w:rPr>
                <w:rFonts w:cs="Times New Roman"/>
                <w:kern w:val="2"/>
                <w:sz w:val="21"/>
                <w:szCs w:val="21"/>
              </w:rPr>
              <w:t>3.《</w:t>
            </w:r>
            <w:bookmarkStart w:id="31" w:name="OLE_LINK11"/>
            <w:r>
              <w:rPr>
                <w:rFonts w:cs="Times New Roman"/>
                <w:kern w:val="2"/>
                <w:sz w:val="21"/>
                <w:szCs w:val="21"/>
              </w:rPr>
              <w:t>中华人民共和国自然保护区条例</w:t>
            </w:r>
            <w:bookmarkEnd w:id="31"/>
            <w:r>
              <w:rPr>
                <w:rFonts w:cs="Times New Roman"/>
                <w:kern w:val="2"/>
                <w:sz w:val="21"/>
                <w:szCs w:val="21"/>
              </w:rPr>
              <w:t>》（2026修订版）第</w:t>
            </w:r>
            <w:r>
              <w:rPr>
                <w:rFonts w:hint="eastAsia" w:cs="Times New Roman"/>
                <w:kern w:val="2"/>
                <w:sz w:val="21"/>
                <w:szCs w:val="21"/>
              </w:rPr>
              <w:t>三十五</w:t>
            </w:r>
            <w:r>
              <w:rPr>
                <w:rFonts w:cs="Times New Roman"/>
                <w:kern w:val="2"/>
                <w:sz w:val="21"/>
                <w:szCs w:val="21"/>
              </w:rPr>
              <w:t>条</w:t>
            </w:r>
            <w:r>
              <w:rPr>
                <w:rFonts w:hint="eastAsia" w:cs="Times New Roman"/>
                <w:kern w:val="2"/>
                <w:sz w:val="21"/>
                <w:szCs w:val="21"/>
              </w:rPr>
              <w:t xml:space="preserve">第三款 </w:t>
            </w:r>
            <w:r>
              <w:rPr>
                <w:rFonts w:cs="Times New Roman"/>
                <w:kern w:val="2"/>
                <w:sz w:val="21"/>
                <w:szCs w:val="21"/>
              </w:rPr>
              <w:t>监督检查人员开展监督检查，应当主动出示执法证件。被检查单位和个人应当予以配合，不得拒绝、阻碍。</w:t>
            </w:r>
          </w:p>
          <w:p w14:paraId="2F107195">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kern w:val="2"/>
                <w:sz w:val="21"/>
                <w:szCs w:val="21"/>
              </w:rPr>
            </w:pPr>
            <w:r>
              <w:rPr>
                <w:rFonts w:cs="Times New Roman"/>
                <w:kern w:val="2"/>
                <w:sz w:val="21"/>
                <w:szCs w:val="21"/>
              </w:rPr>
              <w:t>4.《放射性废物安全管理条例》第二十九条</w:t>
            </w:r>
            <w:r>
              <w:rPr>
                <w:rFonts w:hint="eastAsia" w:cs="Times New Roman"/>
                <w:kern w:val="2"/>
                <w:sz w:val="21"/>
                <w:szCs w:val="21"/>
              </w:rPr>
              <w:t xml:space="preserve">第一款、第二款 </w:t>
            </w:r>
            <w:r>
              <w:rPr>
                <w:rFonts w:cs="Times New Roman"/>
                <w:kern w:val="2"/>
                <w:sz w:val="21"/>
                <w:szCs w:val="21"/>
              </w:rPr>
              <w:t>县级以上人民政府环境保护主管部门和其他有关部门进行监督检查时，有权采取下列措施：</w:t>
            </w:r>
          </w:p>
          <w:p w14:paraId="5628DA64">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kern w:val="2"/>
                <w:sz w:val="21"/>
                <w:szCs w:val="21"/>
              </w:rPr>
            </w:pPr>
            <w:r>
              <w:rPr>
                <w:rFonts w:cs="Times New Roman"/>
                <w:kern w:val="2"/>
                <w:sz w:val="21"/>
                <w:szCs w:val="21"/>
              </w:rPr>
              <w:t>（一）向被检查单位的法定代表人和其他有关人员调查、了解情况；</w:t>
            </w:r>
          </w:p>
          <w:p w14:paraId="29E7849B">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kern w:val="2"/>
                <w:sz w:val="21"/>
                <w:szCs w:val="21"/>
              </w:rPr>
            </w:pPr>
            <w:r>
              <w:rPr>
                <w:rFonts w:cs="Times New Roman"/>
                <w:kern w:val="2"/>
                <w:sz w:val="21"/>
                <w:szCs w:val="21"/>
              </w:rPr>
              <w:t>（二）进入被检查单位进行现场监测、检查或者核查；</w:t>
            </w:r>
          </w:p>
          <w:p w14:paraId="1C65E5F1">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kern w:val="2"/>
                <w:sz w:val="21"/>
                <w:szCs w:val="21"/>
              </w:rPr>
            </w:pPr>
            <w:r>
              <w:rPr>
                <w:rFonts w:cs="Times New Roman"/>
                <w:kern w:val="2"/>
                <w:sz w:val="21"/>
                <w:szCs w:val="21"/>
              </w:rPr>
              <w:t>（三）查阅、复制相关文件、记录以及其他有关资料；</w:t>
            </w:r>
          </w:p>
          <w:p w14:paraId="17832770">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kern w:val="2"/>
                <w:sz w:val="21"/>
                <w:szCs w:val="21"/>
              </w:rPr>
            </w:pPr>
            <w:r>
              <w:rPr>
                <w:rFonts w:cs="Times New Roman"/>
                <w:kern w:val="2"/>
                <w:sz w:val="21"/>
                <w:szCs w:val="21"/>
              </w:rPr>
              <w:t>（四）要求被检查单位提交有关情况说明或者后续处理报告。</w:t>
            </w:r>
          </w:p>
          <w:p w14:paraId="5E0FC7A5">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kern w:val="2"/>
                <w:sz w:val="21"/>
                <w:szCs w:val="21"/>
              </w:rPr>
            </w:pPr>
            <w:r>
              <w:rPr>
                <w:rFonts w:cs="Times New Roman"/>
                <w:kern w:val="2"/>
                <w:sz w:val="21"/>
                <w:szCs w:val="21"/>
              </w:rPr>
              <w:t>被检查单位应当予以配合，如实反映情况，提供必要的资料，不得拒绝和阻碍。</w:t>
            </w:r>
          </w:p>
          <w:p w14:paraId="696E76E0">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kern w:val="2"/>
                <w:sz w:val="21"/>
                <w:szCs w:val="21"/>
              </w:rPr>
            </w:pPr>
            <w:r>
              <w:rPr>
                <w:rFonts w:cs="Times New Roman"/>
                <w:kern w:val="2"/>
                <w:sz w:val="21"/>
                <w:szCs w:val="21"/>
              </w:rPr>
              <w:t>5.</w:t>
            </w:r>
            <w:r>
              <w:rPr>
                <w:rFonts w:hint="eastAsia" w:cs="Times New Roman"/>
                <w:kern w:val="2"/>
                <w:sz w:val="21"/>
                <w:szCs w:val="21"/>
              </w:rPr>
              <w:t>《排污许可管理条例》</w:t>
            </w:r>
            <w:r>
              <w:rPr>
                <w:rFonts w:cs="Times New Roman"/>
                <w:kern w:val="2"/>
                <w:sz w:val="21"/>
                <w:szCs w:val="21"/>
              </w:rPr>
              <w:t>第二十六条第一款 排污单位应当配合生态环境主管部门监督检查，如实反映情况，并按照要求提供排污许可证、环境管理台账记录、排污许可证执行报告、自行监测数据等相关材料。</w:t>
            </w:r>
          </w:p>
          <w:p w14:paraId="0173C2F0">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b/>
                <w:bCs/>
                <w:kern w:val="2"/>
                <w:sz w:val="21"/>
                <w:szCs w:val="21"/>
              </w:rPr>
            </w:pPr>
            <w:r>
              <w:rPr>
                <w:rFonts w:hint="eastAsia" w:cs="Times New Roman"/>
                <w:b/>
                <w:bCs/>
                <w:color w:val="auto"/>
                <w:kern w:val="2"/>
                <w:sz w:val="21"/>
                <w:szCs w:val="21"/>
              </w:rPr>
              <w:t>6.《昆明市大气污染防治条例》</w:t>
            </w:r>
            <w:r>
              <w:rPr>
                <w:rFonts w:cs="Times New Roman"/>
                <w:b/>
                <w:bCs/>
                <w:color w:val="auto"/>
                <w:kern w:val="2"/>
                <w:sz w:val="21"/>
                <w:szCs w:val="21"/>
              </w:rPr>
              <w:t>（2026修订版）</w:t>
            </w:r>
            <w:r>
              <w:rPr>
                <w:rFonts w:hint="eastAsia" w:cs="Times New Roman"/>
                <w:b/>
                <w:bCs/>
                <w:color w:val="auto"/>
                <w:kern w:val="2"/>
                <w:sz w:val="21"/>
                <w:szCs w:val="21"/>
              </w:rPr>
              <w:t>第二十条 生态环境主管部门及其环境执法机构和其他负有大气环境保护监督管理职责的部门，有权对管辖范围内排放大气污染物的企业事业单位和其他生产经营者进行监督检查。被检查者应当如实反映情况，并按照检查者要求提供资料，不得拒绝、阻挠和拖延。实施检查的部门、机构及其工作人员应当为被检查者保守技术秘密和商业秘密。</w:t>
            </w:r>
          </w:p>
        </w:tc>
      </w:tr>
      <w:tr w14:paraId="21414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6" w:type="pct"/>
            <w:noWrap w:val="0"/>
            <w:tcMar>
              <w:top w:w="0" w:type="dxa"/>
              <w:left w:w="57" w:type="dxa"/>
              <w:bottom w:w="0" w:type="dxa"/>
              <w:right w:w="57" w:type="dxa"/>
            </w:tcMar>
            <w:vAlign w:val="center"/>
          </w:tcPr>
          <w:p w14:paraId="146A4F76">
            <w:pPr>
              <w:spacing w:before="20" w:after="20" w:line="300" w:lineRule="auto"/>
              <w:jc w:val="center"/>
              <w:rPr>
                <w:rFonts w:hint="eastAsia" w:ascii="宋体" w:hAnsi="宋体" w:eastAsia="宋体"/>
                <w:b/>
                <w:sz w:val="21"/>
                <w:szCs w:val="21"/>
              </w:rPr>
            </w:pPr>
            <w:r>
              <w:rPr>
                <w:rFonts w:ascii="宋体" w:hAnsi="宋体" w:eastAsia="宋体"/>
                <w:b/>
                <w:sz w:val="21"/>
                <w:szCs w:val="21"/>
              </w:rPr>
              <w:t>处罚依据</w:t>
            </w:r>
          </w:p>
        </w:tc>
        <w:tc>
          <w:tcPr>
            <w:tcW w:w="4374" w:type="pct"/>
            <w:gridSpan w:val="2"/>
            <w:noWrap w:val="0"/>
            <w:tcMar>
              <w:top w:w="0" w:type="dxa"/>
              <w:left w:w="57" w:type="dxa"/>
              <w:bottom w:w="0" w:type="dxa"/>
              <w:right w:w="57" w:type="dxa"/>
            </w:tcMar>
            <w:vAlign w:val="top"/>
          </w:tcPr>
          <w:p w14:paraId="65AA5D8F">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kern w:val="2"/>
                <w:sz w:val="21"/>
                <w:szCs w:val="21"/>
              </w:rPr>
            </w:pPr>
            <w:r>
              <w:rPr>
                <w:rFonts w:cs="Times New Roman"/>
                <w:kern w:val="2"/>
                <w:sz w:val="21"/>
                <w:szCs w:val="21"/>
              </w:rPr>
              <w:t>1.《中华人民共和国生态环境法典》第一千二百二十九条</w:t>
            </w:r>
            <w:r>
              <w:rPr>
                <w:rFonts w:hint="eastAsia" w:cs="Times New Roman"/>
                <w:kern w:val="2"/>
                <w:sz w:val="21"/>
                <w:szCs w:val="21"/>
              </w:rPr>
              <w:t xml:space="preserve"> </w:t>
            </w:r>
            <w:r>
              <w:rPr>
                <w:rFonts w:cs="Times New Roman"/>
                <w:kern w:val="2"/>
                <w:sz w:val="21"/>
                <w:szCs w:val="21"/>
              </w:rPr>
              <w:t>违反本法规定，以拖延、围堵、滞留执法人员等方式拒绝、阻挠监督检查和突发生态环境事件调查处理，或者在接受监督检查和调查处理时弄虚作假或者拒不提供必要资料的，由负有生态环境保护监督管理职责的部门、机构按照职责分工责令改正，处五万元以上二十万元以下的罚款；对直接负责的主管人员和其他直接责任人员，处五千元以上五万元以下的罚款；构成违反治安管理行为的，由公安机关、海警机构按照职责分工依法予以处罚。</w:t>
            </w:r>
          </w:p>
          <w:p w14:paraId="792FE57C">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kern w:val="2"/>
                <w:sz w:val="21"/>
                <w:szCs w:val="21"/>
              </w:rPr>
            </w:pPr>
            <w:r>
              <w:rPr>
                <w:rFonts w:hint="eastAsia" w:cs="Times New Roman"/>
                <w:kern w:val="2"/>
                <w:sz w:val="21"/>
                <w:szCs w:val="21"/>
              </w:rPr>
              <w:t>2</w:t>
            </w:r>
            <w:r>
              <w:rPr>
                <w:rFonts w:cs="Times New Roman"/>
                <w:kern w:val="2"/>
                <w:sz w:val="21"/>
                <w:szCs w:val="21"/>
              </w:rPr>
              <w:t>.</w:t>
            </w:r>
            <w:r>
              <w:rPr>
                <w:rFonts w:hint="eastAsia" w:cs="Times New Roman"/>
                <w:kern w:val="2"/>
                <w:sz w:val="21"/>
                <w:szCs w:val="21"/>
              </w:rPr>
              <w:t>《消耗臭氧层物质管理条例》</w:t>
            </w:r>
            <w:r>
              <w:rPr>
                <w:rFonts w:cs="Times New Roman"/>
                <w:kern w:val="2"/>
                <w:sz w:val="21"/>
                <w:szCs w:val="21"/>
              </w:rPr>
              <w:t>（2026修订版）第</w:t>
            </w:r>
            <w:r>
              <w:rPr>
                <w:rFonts w:hint="eastAsia" w:cs="Times New Roman"/>
                <w:kern w:val="2"/>
                <w:sz w:val="21"/>
                <w:szCs w:val="21"/>
              </w:rPr>
              <w:t>四十</w:t>
            </w:r>
            <w:r>
              <w:rPr>
                <w:rFonts w:cs="Times New Roman"/>
                <w:kern w:val="2"/>
                <w:sz w:val="21"/>
                <w:szCs w:val="21"/>
              </w:rPr>
              <w:t>条</w:t>
            </w:r>
            <w:r>
              <w:rPr>
                <w:rFonts w:hint="eastAsia" w:cs="Times New Roman"/>
                <w:kern w:val="2"/>
                <w:sz w:val="21"/>
                <w:szCs w:val="21"/>
              </w:rPr>
              <w:t xml:space="preserve"> </w:t>
            </w:r>
            <w:r>
              <w:rPr>
                <w:rFonts w:cs="Times New Roman"/>
                <w:kern w:val="2"/>
                <w:sz w:val="21"/>
                <w:szCs w:val="21"/>
              </w:rPr>
              <w:t>拒绝、阻碍生态环境主管部门或者其他有关部门的监督检查，或者在接受监督检查时弄虚作假的，由监督检查部门责令改正，处5万元以上20万元以下的罚款；对直接负责的主管人员和其他直接责任人员，处5000元以上5万元以下的罚款；构成违反治安管理行为的，由公安机关依法给予治安管理处罚；构成犯罪的，依法追究刑事责任。</w:t>
            </w:r>
          </w:p>
          <w:p w14:paraId="658424B3">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kern w:val="2"/>
                <w:sz w:val="21"/>
                <w:szCs w:val="21"/>
              </w:rPr>
            </w:pPr>
            <w:r>
              <w:rPr>
                <w:rFonts w:hint="eastAsia" w:cs="Times New Roman"/>
                <w:kern w:val="2"/>
                <w:sz w:val="21"/>
                <w:szCs w:val="21"/>
              </w:rPr>
              <w:t>3</w:t>
            </w:r>
            <w:r>
              <w:rPr>
                <w:rFonts w:cs="Times New Roman"/>
                <w:kern w:val="2"/>
                <w:sz w:val="21"/>
                <w:szCs w:val="21"/>
              </w:rPr>
              <w:t>.《放射性废物安全管理条例》第四十一条 违反本条例规定，拒绝、阻碍环境保护主管部门或者其他有关部门的监督检查，或者在接受监督检查时弄虚作假的，由监督检查部门责令改正，处2万元以下的罚款；构成违反治安管理行为的，由公安机关依法给予治安管理处罚；构成犯罪的，依法追究刑事责任。</w:t>
            </w:r>
          </w:p>
          <w:p w14:paraId="7DD92967">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kern w:val="2"/>
                <w:sz w:val="21"/>
                <w:szCs w:val="21"/>
              </w:rPr>
            </w:pPr>
            <w:r>
              <w:rPr>
                <w:rFonts w:hint="eastAsia" w:cs="Times New Roman"/>
                <w:kern w:val="2"/>
                <w:sz w:val="21"/>
                <w:szCs w:val="21"/>
              </w:rPr>
              <w:t>4</w:t>
            </w:r>
            <w:r>
              <w:rPr>
                <w:rFonts w:cs="Times New Roman"/>
                <w:kern w:val="2"/>
                <w:sz w:val="21"/>
                <w:szCs w:val="21"/>
              </w:rPr>
              <w:t>.</w:t>
            </w:r>
            <w:r>
              <w:rPr>
                <w:rFonts w:hint="eastAsia" w:cs="Times New Roman"/>
                <w:kern w:val="2"/>
                <w:sz w:val="21"/>
                <w:szCs w:val="21"/>
              </w:rPr>
              <w:t>《排污许可管理条例》</w:t>
            </w:r>
            <w:r>
              <w:rPr>
                <w:rFonts w:cs="Times New Roman"/>
                <w:kern w:val="2"/>
                <w:sz w:val="21"/>
                <w:szCs w:val="21"/>
              </w:rPr>
              <w:t>第三十九条 排污单位拒不配合生态环境主管部门监督检查，或者在接受监督检查时弄虚作假的，由生态环境主管部门责令改正，处2万元以上20万元以下的罚款。</w:t>
            </w:r>
          </w:p>
          <w:p w14:paraId="19FC843B">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b/>
                <w:bCs/>
                <w:color w:val="auto"/>
                <w:kern w:val="2"/>
                <w:sz w:val="21"/>
                <w:szCs w:val="21"/>
              </w:rPr>
            </w:pPr>
            <w:r>
              <w:rPr>
                <w:rFonts w:hint="eastAsia" w:cs="Times New Roman"/>
                <w:b/>
                <w:bCs/>
                <w:color w:val="auto"/>
                <w:kern w:val="2"/>
                <w:sz w:val="21"/>
                <w:szCs w:val="21"/>
              </w:rPr>
              <w:t>5.《昆明市大气污染防治条例》</w:t>
            </w:r>
            <w:r>
              <w:rPr>
                <w:rFonts w:cs="Times New Roman"/>
                <w:b/>
                <w:bCs/>
                <w:color w:val="auto"/>
                <w:kern w:val="2"/>
                <w:sz w:val="21"/>
                <w:szCs w:val="21"/>
              </w:rPr>
              <w:t>（2026修订版）</w:t>
            </w:r>
            <w:r>
              <w:rPr>
                <w:rFonts w:hint="eastAsia" w:cs="Times New Roman"/>
                <w:b/>
                <w:bCs/>
                <w:color w:val="auto"/>
                <w:kern w:val="2"/>
                <w:sz w:val="21"/>
                <w:szCs w:val="21"/>
              </w:rPr>
              <w:t xml:space="preserve">第五十一条 </w:t>
            </w:r>
            <w:r>
              <w:rPr>
                <w:rFonts w:cs="Times New Roman"/>
                <w:b/>
                <w:bCs/>
                <w:color w:val="auto"/>
                <w:kern w:val="2"/>
                <w:sz w:val="21"/>
                <w:szCs w:val="21"/>
              </w:rPr>
              <w:t>违反本条例规定，以拖延、围堵、滞留执法人员等方式拒绝、阻挠监督检查和突发生态环境事件调查处理，或者在接受监督检查和调查处理时弄虚作假或者拒不提供必要资料的，由生态环境主管部门或者其他负有大气环境保护监督管理职责的部门、机构按照职责分工责令改正，处5万元以上20万元以下罚款；对直接负责的主管人员和其他直接责任人员，处5000元以上5万元以下罚款；构成违反治安管理行为的，由公安机关依法予以处罚。</w:t>
            </w:r>
          </w:p>
        </w:tc>
      </w:tr>
      <w:tr w14:paraId="5DC5D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6" w:type="pct"/>
            <w:noWrap w:val="0"/>
            <w:tcMar>
              <w:top w:w="0" w:type="dxa"/>
              <w:left w:w="57" w:type="dxa"/>
              <w:bottom w:w="0" w:type="dxa"/>
              <w:right w:w="57" w:type="dxa"/>
            </w:tcMar>
            <w:vAlign w:val="center"/>
          </w:tcPr>
          <w:p w14:paraId="51CABAA9">
            <w:pPr>
              <w:spacing w:before="20" w:after="20" w:line="300" w:lineRule="auto"/>
              <w:jc w:val="center"/>
              <w:rPr>
                <w:rFonts w:hint="eastAsia" w:ascii="宋体" w:hAnsi="宋体" w:eastAsia="宋体"/>
                <w:b/>
                <w:sz w:val="21"/>
                <w:szCs w:val="21"/>
              </w:rPr>
            </w:pPr>
            <w:r>
              <w:rPr>
                <w:rFonts w:ascii="宋体" w:hAnsi="宋体" w:eastAsia="宋体"/>
                <w:b/>
                <w:sz w:val="21"/>
                <w:szCs w:val="21"/>
              </w:rPr>
              <w:t>裁量因素</w:t>
            </w:r>
          </w:p>
        </w:tc>
        <w:tc>
          <w:tcPr>
            <w:tcW w:w="3773" w:type="pct"/>
            <w:noWrap w:val="0"/>
            <w:tcMar>
              <w:top w:w="0" w:type="dxa"/>
              <w:left w:w="57" w:type="dxa"/>
              <w:bottom w:w="0" w:type="dxa"/>
              <w:right w:w="57" w:type="dxa"/>
            </w:tcMar>
            <w:vAlign w:val="center"/>
          </w:tcPr>
          <w:p w14:paraId="375A37C3">
            <w:pPr>
              <w:spacing w:before="20" w:after="20" w:line="300" w:lineRule="auto"/>
              <w:jc w:val="center"/>
              <w:rPr>
                <w:rFonts w:hint="eastAsia" w:ascii="宋体" w:hAnsi="宋体" w:eastAsia="宋体"/>
                <w:b/>
                <w:sz w:val="21"/>
                <w:szCs w:val="21"/>
              </w:rPr>
            </w:pPr>
            <w:r>
              <w:rPr>
                <w:rFonts w:ascii="宋体" w:hAnsi="宋体" w:eastAsia="宋体"/>
                <w:b/>
                <w:sz w:val="21"/>
                <w:szCs w:val="21"/>
              </w:rPr>
              <w:t>裁量因子</w:t>
            </w:r>
          </w:p>
        </w:tc>
        <w:tc>
          <w:tcPr>
            <w:tcW w:w="601" w:type="pct"/>
            <w:noWrap w:val="0"/>
            <w:tcMar>
              <w:top w:w="0" w:type="dxa"/>
              <w:left w:w="57" w:type="dxa"/>
              <w:bottom w:w="0" w:type="dxa"/>
              <w:right w:w="57" w:type="dxa"/>
            </w:tcMar>
            <w:vAlign w:val="center"/>
          </w:tcPr>
          <w:p w14:paraId="6499B8CE">
            <w:pPr>
              <w:spacing w:before="20" w:after="20" w:line="300" w:lineRule="auto"/>
              <w:jc w:val="center"/>
              <w:rPr>
                <w:rFonts w:hint="eastAsia" w:ascii="宋体" w:hAnsi="宋体" w:eastAsia="宋体"/>
                <w:b/>
                <w:sz w:val="21"/>
                <w:szCs w:val="21"/>
              </w:rPr>
            </w:pPr>
            <w:r>
              <w:rPr>
                <w:rFonts w:ascii="宋体" w:hAnsi="宋体" w:eastAsia="宋体"/>
                <w:b/>
                <w:sz w:val="21"/>
                <w:szCs w:val="21"/>
              </w:rPr>
              <w:t>裁量等级</w:t>
            </w:r>
          </w:p>
        </w:tc>
      </w:tr>
      <w:tr w14:paraId="416FE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6" w:type="pct"/>
            <w:vMerge w:val="restart"/>
            <w:noWrap w:val="0"/>
            <w:tcMar>
              <w:top w:w="0" w:type="dxa"/>
              <w:left w:w="57" w:type="dxa"/>
              <w:bottom w:w="0" w:type="dxa"/>
              <w:right w:w="57" w:type="dxa"/>
            </w:tcMar>
            <w:vAlign w:val="center"/>
          </w:tcPr>
          <w:p w14:paraId="79B61797">
            <w:pPr>
              <w:spacing w:before="20" w:after="20" w:line="300" w:lineRule="auto"/>
              <w:jc w:val="center"/>
              <w:rPr>
                <w:rFonts w:hint="eastAsia" w:ascii="宋体" w:hAnsi="宋体" w:eastAsia="宋体"/>
                <w:b/>
                <w:sz w:val="21"/>
                <w:szCs w:val="21"/>
              </w:rPr>
            </w:pPr>
            <w:r>
              <w:rPr>
                <w:rFonts w:ascii="宋体" w:hAnsi="宋体" w:eastAsia="宋体"/>
                <w:b/>
                <w:sz w:val="21"/>
                <w:szCs w:val="21"/>
              </w:rPr>
              <w:t>拒绝检查</w:t>
            </w:r>
          </w:p>
          <w:p w14:paraId="1A3627D6">
            <w:pPr>
              <w:spacing w:before="20" w:after="20" w:line="300" w:lineRule="auto"/>
              <w:jc w:val="center"/>
              <w:rPr>
                <w:rFonts w:hint="eastAsia" w:ascii="宋体" w:hAnsi="宋体" w:eastAsia="宋体"/>
                <w:b/>
                <w:sz w:val="21"/>
                <w:szCs w:val="21"/>
              </w:rPr>
            </w:pPr>
            <w:r>
              <w:rPr>
                <w:rFonts w:ascii="宋体" w:hAnsi="宋体" w:eastAsia="宋体"/>
                <w:b/>
                <w:sz w:val="21"/>
                <w:szCs w:val="21"/>
              </w:rPr>
              <w:t>情形</w:t>
            </w:r>
          </w:p>
        </w:tc>
        <w:tc>
          <w:tcPr>
            <w:tcW w:w="3773" w:type="pct"/>
            <w:noWrap w:val="0"/>
            <w:tcMar>
              <w:top w:w="0" w:type="dxa"/>
              <w:left w:w="57" w:type="dxa"/>
              <w:bottom w:w="0" w:type="dxa"/>
              <w:right w:w="57" w:type="dxa"/>
            </w:tcMar>
            <w:vAlign w:val="center"/>
          </w:tcPr>
          <w:p w14:paraId="0AC2A152">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kern w:val="2"/>
                <w:sz w:val="21"/>
                <w:szCs w:val="21"/>
              </w:rPr>
            </w:pPr>
            <w:r>
              <w:rPr>
                <w:rFonts w:cs="Times New Roman"/>
                <w:kern w:val="2"/>
                <w:sz w:val="21"/>
                <w:szCs w:val="21"/>
              </w:rPr>
              <w:t>迟滞10分钟以上</w:t>
            </w:r>
            <w:r>
              <w:rPr>
                <w:rFonts w:hint="eastAsia" w:cs="Times New Roman"/>
                <w:kern w:val="2"/>
                <w:sz w:val="21"/>
                <w:szCs w:val="21"/>
              </w:rPr>
              <w:t>不足</w:t>
            </w:r>
            <w:r>
              <w:rPr>
                <w:rFonts w:cs="Times New Roman"/>
                <w:kern w:val="2"/>
                <w:sz w:val="21"/>
                <w:szCs w:val="21"/>
              </w:rPr>
              <w:t>30分钟</w:t>
            </w:r>
          </w:p>
        </w:tc>
        <w:tc>
          <w:tcPr>
            <w:tcW w:w="601" w:type="pct"/>
            <w:noWrap w:val="0"/>
            <w:tcMar>
              <w:top w:w="0" w:type="dxa"/>
              <w:left w:w="57" w:type="dxa"/>
              <w:bottom w:w="0" w:type="dxa"/>
              <w:right w:w="57" w:type="dxa"/>
            </w:tcMar>
            <w:vAlign w:val="center"/>
          </w:tcPr>
          <w:p w14:paraId="62CC7E45">
            <w:pPr>
              <w:suppressAutoHyphens/>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36649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6" w:type="pct"/>
            <w:vMerge w:val="continue"/>
            <w:noWrap w:val="0"/>
            <w:tcMar>
              <w:top w:w="0" w:type="dxa"/>
              <w:left w:w="57" w:type="dxa"/>
              <w:bottom w:w="0" w:type="dxa"/>
              <w:right w:w="57" w:type="dxa"/>
            </w:tcMar>
            <w:vAlign w:val="center"/>
          </w:tcPr>
          <w:p w14:paraId="64EC957F">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73" w:type="pct"/>
            <w:noWrap w:val="0"/>
            <w:tcMar>
              <w:top w:w="0" w:type="dxa"/>
              <w:left w:w="57" w:type="dxa"/>
              <w:bottom w:w="0" w:type="dxa"/>
              <w:right w:w="57" w:type="dxa"/>
            </w:tcMar>
            <w:vAlign w:val="center"/>
          </w:tcPr>
          <w:p w14:paraId="7F19337B">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kern w:val="2"/>
                <w:sz w:val="21"/>
                <w:szCs w:val="21"/>
              </w:rPr>
            </w:pPr>
            <w:r>
              <w:rPr>
                <w:rFonts w:cs="Times New Roman"/>
                <w:kern w:val="2"/>
                <w:sz w:val="21"/>
                <w:szCs w:val="21"/>
              </w:rPr>
              <w:t>迟滞</w:t>
            </w:r>
            <w:r>
              <w:rPr>
                <w:rFonts w:hint="eastAsia" w:cs="Times New Roman"/>
                <w:kern w:val="2"/>
                <w:sz w:val="21"/>
                <w:szCs w:val="21"/>
              </w:rPr>
              <w:t>30分钟以上</w:t>
            </w:r>
          </w:p>
        </w:tc>
        <w:tc>
          <w:tcPr>
            <w:tcW w:w="601" w:type="pct"/>
            <w:noWrap w:val="0"/>
            <w:tcMar>
              <w:top w:w="0" w:type="dxa"/>
              <w:left w:w="57" w:type="dxa"/>
              <w:bottom w:w="0" w:type="dxa"/>
              <w:right w:w="57" w:type="dxa"/>
            </w:tcMar>
            <w:vAlign w:val="center"/>
          </w:tcPr>
          <w:p w14:paraId="33B33411">
            <w:pPr>
              <w:suppressAutoHyphens/>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2</w:t>
            </w:r>
          </w:p>
        </w:tc>
      </w:tr>
      <w:tr w14:paraId="1107D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6" w:type="pct"/>
            <w:vMerge w:val="continue"/>
            <w:noWrap w:val="0"/>
            <w:tcMar>
              <w:top w:w="0" w:type="dxa"/>
              <w:left w:w="57" w:type="dxa"/>
              <w:bottom w:w="0" w:type="dxa"/>
              <w:right w:w="57" w:type="dxa"/>
            </w:tcMar>
            <w:vAlign w:val="center"/>
          </w:tcPr>
          <w:p w14:paraId="37A06A29">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73" w:type="pct"/>
            <w:noWrap w:val="0"/>
            <w:tcMar>
              <w:top w:w="0" w:type="dxa"/>
              <w:left w:w="57" w:type="dxa"/>
              <w:bottom w:w="0" w:type="dxa"/>
              <w:right w:w="57" w:type="dxa"/>
            </w:tcMar>
            <w:vAlign w:val="center"/>
          </w:tcPr>
          <w:p w14:paraId="0647BE00">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kern w:val="2"/>
                <w:sz w:val="21"/>
                <w:szCs w:val="21"/>
              </w:rPr>
            </w:pPr>
            <w:r>
              <w:rPr>
                <w:rFonts w:cs="Times New Roman"/>
                <w:kern w:val="2"/>
                <w:sz w:val="21"/>
                <w:szCs w:val="21"/>
              </w:rPr>
              <w:t>阻碍或隐匿部分资料</w:t>
            </w:r>
          </w:p>
        </w:tc>
        <w:tc>
          <w:tcPr>
            <w:tcW w:w="601" w:type="pct"/>
            <w:noWrap w:val="0"/>
            <w:tcMar>
              <w:top w:w="0" w:type="dxa"/>
              <w:left w:w="57" w:type="dxa"/>
              <w:bottom w:w="0" w:type="dxa"/>
              <w:right w:w="57" w:type="dxa"/>
            </w:tcMar>
            <w:vAlign w:val="center"/>
          </w:tcPr>
          <w:p w14:paraId="0CF631C2">
            <w:pPr>
              <w:suppressAutoHyphens/>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05B82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6" w:type="pct"/>
            <w:vMerge w:val="continue"/>
            <w:noWrap w:val="0"/>
            <w:tcMar>
              <w:top w:w="0" w:type="dxa"/>
              <w:left w:w="57" w:type="dxa"/>
              <w:bottom w:w="0" w:type="dxa"/>
              <w:right w:w="57" w:type="dxa"/>
            </w:tcMar>
            <w:vAlign w:val="center"/>
          </w:tcPr>
          <w:p w14:paraId="02C7638B">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73" w:type="pct"/>
            <w:noWrap w:val="0"/>
            <w:tcMar>
              <w:top w:w="0" w:type="dxa"/>
              <w:left w:w="57" w:type="dxa"/>
              <w:bottom w:w="0" w:type="dxa"/>
              <w:right w:w="57" w:type="dxa"/>
            </w:tcMar>
            <w:vAlign w:val="center"/>
          </w:tcPr>
          <w:p w14:paraId="4EA81E7D">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kern w:val="2"/>
                <w:sz w:val="21"/>
                <w:szCs w:val="21"/>
              </w:rPr>
            </w:pPr>
            <w:r>
              <w:rPr>
                <w:rFonts w:cs="Times New Roman"/>
                <w:kern w:val="2"/>
                <w:sz w:val="21"/>
                <w:szCs w:val="21"/>
              </w:rPr>
              <w:t>围堵、留滞执法人员或拒绝提供资料</w:t>
            </w:r>
          </w:p>
        </w:tc>
        <w:tc>
          <w:tcPr>
            <w:tcW w:w="601" w:type="pct"/>
            <w:noWrap w:val="0"/>
            <w:tcMar>
              <w:top w:w="0" w:type="dxa"/>
              <w:left w:w="57" w:type="dxa"/>
              <w:bottom w:w="0" w:type="dxa"/>
              <w:right w:w="57" w:type="dxa"/>
            </w:tcMar>
            <w:vAlign w:val="center"/>
          </w:tcPr>
          <w:p w14:paraId="0015C287">
            <w:pPr>
              <w:suppressAutoHyphens/>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4</w:t>
            </w:r>
          </w:p>
        </w:tc>
      </w:tr>
      <w:tr w14:paraId="65FAF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6" w:type="pct"/>
            <w:vMerge w:val="continue"/>
            <w:noWrap w:val="0"/>
            <w:tcMar>
              <w:top w:w="0" w:type="dxa"/>
              <w:left w:w="57" w:type="dxa"/>
              <w:bottom w:w="0" w:type="dxa"/>
              <w:right w:w="57" w:type="dxa"/>
            </w:tcMar>
            <w:vAlign w:val="center"/>
          </w:tcPr>
          <w:p w14:paraId="1FB8D541">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73" w:type="pct"/>
            <w:noWrap w:val="0"/>
            <w:tcMar>
              <w:top w:w="0" w:type="dxa"/>
              <w:left w:w="57" w:type="dxa"/>
              <w:bottom w:w="0" w:type="dxa"/>
              <w:right w:w="57" w:type="dxa"/>
            </w:tcMar>
            <w:vAlign w:val="center"/>
          </w:tcPr>
          <w:p w14:paraId="4C8B5C8C">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kern w:val="2"/>
                <w:sz w:val="21"/>
                <w:szCs w:val="21"/>
              </w:rPr>
            </w:pPr>
            <w:r>
              <w:rPr>
                <w:rFonts w:cs="Times New Roman"/>
                <w:kern w:val="2"/>
                <w:sz w:val="21"/>
                <w:szCs w:val="21"/>
              </w:rPr>
              <w:t>暴力抗法</w:t>
            </w:r>
          </w:p>
        </w:tc>
        <w:tc>
          <w:tcPr>
            <w:tcW w:w="601" w:type="pct"/>
            <w:noWrap w:val="0"/>
            <w:tcMar>
              <w:top w:w="0" w:type="dxa"/>
              <w:left w:w="57" w:type="dxa"/>
              <w:bottom w:w="0" w:type="dxa"/>
              <w:right w:w="57" w:type="dxa"/>
            </w:tcMar>
            <w:vAlign w:val="center"/>
          </w:tcPr>
          <w:p w14:paraId="61D90C01">
            <w:pPr>
              <w:suppressAutoHyphens/>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75EF3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6" w:type="pct"/>
            <w:vMerge w:val="restart"/>
            <w:noWrap w:val="0"/>
            <w:tcMar>
              <w:top w:w="0" w:type="dxa"/>
              <w:left w:w="57" w:type="dxa"/>
              <w:bottom w:w="0" w:type="dxa"/>
              <w:right w:w="57" w:type="dxa"/>
            </w:tcMar>
            <w:vAlign w:val="center"/>
          </w:tcPr>
          <w:p w14:paraId="0F2E217B">
            <w:pPr>
              <w:spacing w:before="20" w:after="20" w:line="300" w:lineRule="auto"/>
              <w:jc w:val="center"/>
              <w:rPr>
                <w:rFonts w:hint="eastAsia" w:ascii="宋体" w:hAnsi="宋体" w:eastAsia="宋体"/>
                <w:b/>
                <w:sz w:val="21"/>
                <w:szCs w:val="21"/>
              </w:rPr>
            </w:pPr>
            <w:r>
              <w:rPr>
                <w:rFonts w:ascii="宋体" w:hAnsi="宋体" w:eastAsia="宋体"/>
                <w:b/>
                <w:sz w:val="21"/>
                <w:szCs w:val="21"/>
              </w:rPr>
              <w:t>弄虚作假</w:t>
            </w:r>
          </w:p>
          <w:p w14:paraId="6F2B3959">
            <w:pPr>
              <w:spacing w:before="20" w:after="20" w:line="300" w:lineRule="auto"/>
              <w:jc w:val="center"/>
              <w:rPr>
                <w:rFonts w:hint="eastAsia" w:ascii="宋体" w:hAnsi="宋体" w:eastAsia="宋体"/>
                <w:b/>
                <w:sz w:val="21"/>
                <w:szCs w:val="21"/>
              </w:rPr>
            </w:pPr>
            <w:r>
              <w:rPr>
                <w:rFonts w:ascii="宋体" w:hAnsi="宋体" w:eastAsia="宋体"/>
                <w:b/>
                <w:sz w:val="21"/>
                <w:szCs w:val="21"/>
              </w:rPr>
              <w:t>情形</w:t>
            </w:r>
          </w:p>
        </w:tc>
        <w:tc>
          <w:tcPr>
            <w:tcW w:w="3773" w:type="pct"/>
            <w:noWrap w:val="0"/>
            <w:tcMar>
              <w:top w:w="0" w:type="dxa"/>
              <w:left w:w="57" w:type="dxa"/>
              <w:bottom w:w="0" w:type="dxa"/>
              <w:right w:w="57" w:type="dxa"/>
            </w:tcMar>
            <w:vAlign w:val="center"/>
          </w:tcPr>
          <w:p w14:paraId="5835617B">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kern w:val="2"/>
                <w:sz w:val="21"/>
                <w:szCs w:val="21"/>
              </w:rPr>
            </w:pPr>
            <w:r>
              <w:rPr>
                <w:rFonts w:cs="Times New Roman"/>
                <w:kern w:val="2"/>
                <w:sz w:val="21"/>
                <w:szCs w:val="21"/>
              </w:rPr>
              <w:t>提供非关键性</w:t>
            </w:r>
            <w:r>
              <w:rPr>
                <w:rFonts w:hint="eastAsia" w:cs="Times New Roman"/>
                <w:kern w:val="2"/>
                <w:sz w:val="21"/>
                <w:szCs w:val="21"/>
              </w:rPr>
              <w:t>虚</w:t>
            </w:r>
            <w:r>
              <w:rPr>
                <w:rFonts w:cs="Times New Roman"/>
                <w:kern w:val="2"/>
                <w:sz w:val="21"/>
                <w:szCs w:val="21"/>
              </w:rPr>
              <w:t>假信息</w:t>
            </w:r>
          </w:p>
        </w:tc>
        <w:tc>
          <w:tcPr>
            <w:tcW w:w="601" w:type="pct"/>
            <w:noWrap w:val="0"/>
            <w:tcMar>
              <w:top w:w="0" w:type="dxa"/>
              <w:left w:w="57" w:type="dxa"/>
              <w:bottom w:w="0" w:type="dxa"/>
              <w:right w:w="57" w:type="dxa"/>
            </w:tcMar>
            <w:vAlign w:val="center"/>
          </w:tcPr>
          <w:p w14:paraId="177B48FE">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67013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6" w:type="pct"/>
            <w:vMerge w:val="continue"/>
            <w:noWrap w:val="0"/>
            <w:tcMar>
              <w:top w:w="0" w:type="dxa"/>
              <w:left w:w="57" w:type="dxa"/>
              <w:bottom w:w="0" w:type="dxa"/>
              <w:right w:w="57" w:type="dxa"/>
            </w:tcMar>
            <w:vAlign w:val="center"/>
          </w:tcPr>
          <w:p w14:paraId="49434EF2">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73" w:type="pct"/>
            <w:noWrap w:val="0"/>
            <w:tcMar>
              <w:top w:w="0" w:type="dxa"/>
              <w:left w:w="57" w:type="dxa"/>
              <w:bottom w:w="0" w:type="dxa"/>
              <w:right w:w="57" w:type="dxa"/>
            </w:tcMar>
            <w:vAlign w:val="center"/>
          </w:tcPr>
          <w:p w14:paraId="4A3A15B6">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kern w:val="2"/>
                <w:sz w:val="21"/>
                <w:szCs w:val="21"/>
              </w:rPr>
            </w:pPr>
            <w:r>
              <w:rPr>
                <w:rFonts w:cs="Times New Roman"/>
                <w:kern w:val="2"/>
                <w:sz w:val="21"/>
                <w:szCs w:val="21"/>
              </w:rPr>
              <w:t>提供</w:t>
            </w:r>
            <w:r>
              <w:rPr>
                <w:rFonts w:hint="eastAsia" w:cs="Times New Roman"/>
                <w:kern w:val="2"/>
                <w:sz w:val="21"/>
                <w:szCs w:val="21"/>
              </w:rPr>
              <w:t>关键性虚假</w:t>
            </w:r>
            <w:r>
              <w:rPr>
                <w:rFonts w:cs="Times New Roman"/>
                <w:kern w:val="2"/>
                <w:sz w:val="21"/>
                <w:szCs w:val="21"/>
              </w:rPr>
              <w:t>信息</w:t>
            </w:r>
          </w:p>
        </w:tc>
        <w:tc>
          <w:tcPr>
            <w:tcW w:w="601" w:type="pct"/>
            <w:noWrap w:val="0"/>
            <w:tcMar>
              <w:top w:w="0" w:type="dxa"/>
              <w:left w:w="57" w:type="dxa"/>
              <w:bottom w:w="0" w:type="dxa"/>
              <w:right w:w="57" w:type="dxa"/>
            </w:tcMar>
            <w:vAlign w:val="center"/>
          </w:tcPr>
          <w:p w14:paraId="6F720C77">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19FFE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6" w:type="pct"/>
            <w:vMerge w:val="continue"/>
            <w:noWrap w:val="0"/>
            <w:tcMar>
              <w:top w:w="0" w:type="dxa"/>
              <w:left w:w="57" w:type="dxa"/>
              <w:bottom w:w="0" w:type="dxa"/>
              <w:right w:w="57" w:type="dxa"/>
            </w:tcMar>
            <w:vAlign w:val="center"/>
          </w:tcPr>
          <w:p w14:paraId="5A79B683">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p>
        </w:tc>
        <w:tc>
          <w:tcPr>
            <w:tcW w:w="3773" w:type="pct"/>
            <w:noWrap w:val="0"/>
            <w:tcMar>
              <w:top w:w="0" w:type="dxa"/>
              <w:left w:w="57" w:type="dxa"/>
              <w:bottom w:w="0" w:type="dxa"/>
              <w:right w:w="57" w:type="dxa"/>
            </w:tcMar>
            <w:vAlign w:val="center"/>
          </w:tcPr>
          <w:p w14:paraId="674D4701">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kern w:val="2"/>
                <w:sz w:val="21"/>
                <w:szCs w:val="21"/>
              </w:rPr>
            </w:pPr>
            <w:r>
              <w:rPr>
                <w:rFonts w:cs="Times New Roman"/>
                <w:kern w:val="2"/>
                <w:sz w:val="21"/>
                <w:szCs w:val="21"/>
              </w:rPr>
              <w:t>伪造现场或证据/故意以停产、停排应对检查、监测</w:t>
            </w:r>
          </w:p>
        </w:tc>
        <w:tc>
          <w:tcPr>
            <w:tcW w:w="601" w:type="pct"/>
            <w:noWrap w:val="0"/>
            <w:tcMar>
              <w:top w:w="0" w:type="dxa"/>
              <w:left w:w="57" w:type="dxa"/>
              <w:bottom w:w="0" w:type="dxa"/>
              <w:right w:w="57" w:type="dxa"/>
            </w:tcMar>
            <w:vAlign w:val="center"/>
          </w:tcPr>
          <w:p w14:paraId="195DBC11">
            <w:pPr>
              <w:topLinePunct/>
              <w:autoSpaceDE w:val="0"/>
              <w:autoSpaceDN w:val="0"/>
              <w:adjustRightInd w:val="0"/>
              <w:snapToGrid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0F344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6" w:type="pct"/>
            <w:noWrap w:val="0"/>
            <w:tcMar>
              <w:top w:w="0" w:type="dxa"/>
              <w:left w:w="57" w:type="dxa"/>
              <w:bottom w:w="0" w:type="dxa"/>
              <w:right w:w="57" w:type="dxa"/>
            </w:tcMar>
            <w:vAlign w:val="center"/>
          </w:tcPr>
          <w:p w14:paraId="3D949E88">
            <w:pPr>
              <w:spacing w:before="20" w:after="20" w:line="300" w:lineRule="auto"/>
              <w:jc w:val="center"/>
              <w:rPr>
                <w:rFonts w:hint="eastAsia" w:ascii="宋体" w:hAnsi="宋体" w:eastAsia="宋体"/>
                <w:b/>
                <w:sz w:val="21"/>
                <w:szCs w:val="21"/>
              </w:rPr>
            </w:pPr>
            <w:r>
              <w:rPr>
                <w:rFonts w:hint="eastAsia" w:ascii="宋体" w:hAnsi="宋体" w:eastAsia="宋体"/>
                <w:b/>
                <w:sz w:val="21"/>
                <w:szCs w:val="21"/>
              </w:rPr>
              <w:t>备注</w:t>
            </w:r>
          </w:p>
        </w:tc>
        <w:tc>
          <w:tcPr>
            <w:tcW w:w="4374" w:type="pct"/>
            <w:gridSpan w:val="2"/>
            <w:noWrap w:val="0"/>
            <w:tcMar>
              <w:top w:w="0" w:type="dxa"/>
              <w:left w:w="57" w:type="dxa"/>
              <w:bottom w:w="0" w:type="dxa"/>
              <w:right w:w="57" w:type="dxa"/>
            </w:tcMar>
            <w:vAlign w:val="center"/>
          </w:tcPr>
          <w:p w14:paraId="2FA259F5">
            <w:pPr>
              <w:pStyle w:val="20"/>
              <w:suppressAutoHyphens/>
              <w:autoSpaceDE w:val="0"/>
              <w:autoSpaceDN w:val="0"/>
              <w:adjustRightInd w:val="0"/>
              <w:snapToGrid w:val="0"/>
              <w:spacing w:before="20" w:after="20" w:line="300" w:lineRule="auto"/>
              <w:ind w:left="0" w:right="0" w:rightChars="0" w:firstLine="0"/>
              <w:textAlignment w:val="baseline"/>
              <w:rPr>
                <w:rFonts w:hint="eastAsia" w:cs="Times New Roman"/>
                <w:kern w:val="2"/>
                <w:sz w:val="21"/>
                <w:szCs w:val="21"/>
              </w:rPr>
            </w:pPr>
            <w:r>
              <w:rPr>
                <w:rFonts w:cs="Times New Roman"/>
                <w:kern w:val="2"/>
                <w:sz w:val="21"/>
                <w:szCs w:val="21"/>
              </w:rPr>
              <w:t>对直接负责的主管人员和其他直接责任人员</w:t>
            </w:r>
            <w:r>
              <w:rPr>
                <w:rFonts w:hint="eastAsia" w:cs="Times New Roman"/>
                <w:kern w:val="2"/>
                <w:sz w:val="21"/>
                <w:szCs w:val="21"/>
              </w:rPr>
              <w:t>的处罚，根据本表裁量情形应用公式计算罚款金额。</w:t>
            </w:r>
          </w:p>
        </w:tc>
      </w:tr>
    </w:tbl>
    <w:p w14:paraId="5EF97598">
      <w:pPr>
        <w:spacing w:before="40" w:after="40" w:line="400" w:lineRule="auto"/>
        <w:jc w:val="both"/>
        <w:rPr>
          <w:rFonts w:hint="eastAsia" w:ascii="Times New Roman" w:hAnsi="Times New Roman" w:eastAsia="黑体"/>
          <w:b/>
          <w:bCs w:val="0"/>
          <w:sz w:val="24"/>
          <w:lang w:eastAsia="zh-CN"/>
        </w:rPr>
      </w:pPr>
      <w:r>
        <w:rPr>
          <w:rFonts w:hint="eastAsia" w:ascii="Times New Roman" w:hAnsi="Times New Roman" w:eastAsia="黑体"/>
          <w:b/>
          <w:bCs w:val="0"/>
          <w:sz w:val="24"/>
        </w:rPr>
        <w:t>2</w:t>
      </w:r>
      <w:r>
        <w:rPr>
          <w:rFonts w:ascii="Times New Roman" w:hAnsi="Times New Roman" w:eastAsia="黑体"/>
          <w:b/>
          <w:bCs w:val="0"/>
          <w:sz w:val="24"/>
        </w:rPr>
        <w:t>.</w:t>
      </w:r>
      <w:bookmarkStart w:id="32" w:name="_Toc1066"/>
      <w:bookmarkStart w:id="33" w:name="_Toc23542"/>
      <w:r>
        <w:rPr>
          <w:rFonts w:hint="eastAsia" w:ascii="Times New Roman" w:hAnsi="Times New Roman" w:eastAsia="黑体"/>
          <w:b/>
          <w:bCs w:val="0"/>
          <w:sz w:val="24"/>
        </w:rPr>
        <w:t xml:space="preserve"> </w:t>
      </w:r>
      <w:bookmarkEnd w:id="32"/>
      <w:bookmarkEnd w:id="33"/>
      <w:r>
        <w:rPr>
          <w:rFonts w:ascii="Times New Roman" w:hAnsi="Times New Roman" w:eastAsia="黑体"/>
          <w:b/>
          <w:bCs w:val="0"/>
          <w:sz w:val="24"/>
        </w:rPr>
        <w:t>.</w:t>
      </w:r>
      <w:bookmarkStart w:id="34" w:name="OLE_LINK31"/>
      <w:r>
        <w:rPr>
          <w:rFonts w:ascii="Times New Roman" w:hAnsi="Times New Roman" w:eastAsia="黑体"/>
          <w:b/>
          <w:bCs w:val="0"/>
          <w:sz w:val="24"/>
        </w:rPr>
        <w:t>技术服务机构或者出具的年度排放报告、技术审核意见存在重大缺陷、遗漏或者弄虚作假的行为</w:t>
      </w:r>
      <w:bookmarkEnd w:id="34"/>
      <w:r>
        <w:rPr>
          <w:rFonts w:hint="eastAsia" w:ascii="Times New Roman" w:hAnsi="Times New Roman" w:eastAsia="黑体"/>
          <w:b/>
          <w:bCs w:val="0"/>
          <w:sz w:val="24"/>
          <w:lang w:eastAsia="zh-CN"/>
        </w:rPr>
        <w:t>（新增）</w:t>
      </w:r>
    </w:p>
    <w:tbl>
      <w:tblPr>
        <w:tblStyle w:val="8"/>
        <w:tblW w:w="9104" w:type="dxa"/>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 w:type="dxa"/>
          <w:bottom w:w="0" w:type="dxa"/>
          <w:right w:w="10" w:type="dxa"/>
        </w:tblCellMar>
      </w:tblPr>
      <w:tblGrid>
        <w:gridCol w:w="1126"/>
        <w:gridCol w:w="6946"/>
        <w:gridCol w:w="1032"/>
      </w:tblGrid>
      <w:tr w14:paraId="6F79E19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noWrap w:val="0"/>
            <w:vAlign w:val="center"/>
          </w:tcPr>
          <w:p w14:paraId="08D682C2">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违反条款</w:t>
            </w:r>
          </w:p>
        </w:tc>
        <w:tc>
          <w:tcPr>
            <w:tcW w:w="7978" w:type="dxa"/>
            <w:gridSpan w:val="2"/>
            <w:noWrap w:val="0"/>
            <w:vAlign w:val="center"/>
          </w:tcPr>
          <w:p w14:paraId="6FB766B5">
            <w:pPr>
              <w:spacing w:before="20" w:after="20" w:line="300" w:lineRule="auto"/>
              <w:rPr>
                <w:rFonts w:hint="eastAsia" w:ascii="宋体" w:hAnsi="宋体" w:eastAsia="宋体"/>
                <w:b/>
                <w:bCs w:val="0"/>
                <w:sz w:val="21"/>
                <w:szCs w:val="21"/>
              </w:rPr>
            </w:pPr>
            <w:r>
              <w:rPr>
                <w:rFonts w:ascii="宋体" w:hAnsi="宋体" w:eastAsia="宋体"/>
                <w:b/>
                <w:bCs w:val="0"/>
                <w:sz w:val="21"/>
                <w:szCs w:val="21"/>
              </w:rPr>
              <w:t>《碳排放权交易管理暂行条例》（2026修订版）第十三条第一款</w:t>
            </w:r>
            <w:r>
              <w:rPr>
                <w:rFonts w:hint="eastAsia" w:ascii="宋体" w:hAnsi="宋体" w:eastAsia="宋体"/>
                <w:b/>
                <w:bCs w:val="0"/>
                <w:sz w:val="21"/>
                <w:szCs w:val="21"/>
              </w:rPr>
              <w:t xml:space="preserve"> </w:t>
            </w:r>
            <w:r>
              <w:rPr>
                <w:rFonts w:ascii="宋体" w:hAnsi="宋体" w:eastAsia="宋体"/>
                <w:b/>
                <w:bCs w:val="0"/>
                <w:sz w:val="21"/>
                <w:szCs w:val="21"/>
              </w:rPr>
              <w:t>接受委托开展温室气体排放相关检验检测的技术服务机构，应当遵守国家有关技术规程和技术规范要求，对其出具的检验检测报告承担相应责任，不得出具不实或者虚假的检验检测报告。</w:t>
            </w:r>
          </w:p>
        </w:tc>
      </w:tr>
      <w:tr w14:paraId="7D8F293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noWrap w:val="0"/>
            <w:vAlign w:val="center"/>
          </w:tcPr>
          <w:p w14:paraId="2ED4EA24">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处罚依据</w:t>
            </w:r>
          </w:p>
        </w:tc>
        <w:tc>
          <w:tcPr>
            <w:tcW w:w="7978" w:type="dxa"/>
            <w:gridSpan w:val="2"/>
            <w:noWrap w:val="0"/>
            <w:vAlign w:val="center"/>
          </w:tcPr>
          <w:p w14:paraId="771CE672">
            <w:pPr>
              <w:spacing w:before="20" w:after="20" w:line="300" w:lineRule="auto"/>
              <w:rPr>
                <w:rFonts w:hint="eastAsia" w:ascii="宋体" w:hAnsi="宋体" w:eastAsia="宋体"/>
                <w:b/>
                <w:bCs w:val="0"/>
                <w:sz w:val="21"/>
                <w:szCs w:val="21"/>
              </w:rPr>
            </w:pPr>
            <w:r>
              <w:rPr>
                <w:rFonts w:ascii="宋体" w:hAnsi="宋体" w:eastAsia="宋体"/>
                <w:b/>
                <w:bCs w:val="0"/>
                <w:sz w:val="21"/>
                <w:szCs w:val="21"/>
              </w:rPr>
              <w:t>《碳排放权交易管理暂行条例》（2026修订版）第二十三条</w:t>
            </w:r>
            <w:r>
              <w:rPr>
                <w:rFonts w:hint="eastAsia" w:ascii="宋体" w:hAnsi="宋体" w:eastAsia="宋体"/>
                <w:b/>
                <w:bCs w:val="0"/>
                <w:sz w:val="21"/>
                <w:szCs w:val="21"/>
              </w:rPr>
              <w:t xml:space="preserve">第二、第三款 </w:t>
            </w:r>
            <w:r>
              <w:rPr>
                <w:rFonts w:ascii="宋体" w:hAnsi="宋体" w:eastAsia="宋体"/>
                <w:b/>
                <w:bCs w:val="0"/>
                <w:sz w:val="21"/>
                <w:szCs w:val="21"/>
              </w:rPr>
              <w:t>技术服务机构出具的年度排放报告或者技术审核意见存在重大缺陷或者遗漏，在年度排放报告编制或者对年度排放报告进行技术审核过程中篡改、伪造数据资料，使用虚假的数据资料或者实施其他弄虚作假行为的，由生态环境主管部门责令改正，没收违法所得，并处违法所得5倍以上10倍以下的罚款；没有违法所得或者违法所得不足20万元的，处20万元以上100万元以下的罚款；情节严重的，禁止其从事年度排放报告编制和技术审核业务。</w:t>
            </w:r>
          </w:p>
          <w:p w14:paraId="1BB640A8">
            <w:pPr>
              <w:spacing w:before="20" w:after="20" w:line="300" w:lineRule="auto"/>
              <w:rPr>
                <w:rFonts w:hint="eastAsia" w:ascii="宋体" w:hAnsi="宋体" w:eastAsia="宋体"/>
                <w:b/>
                <w:bCs w:val="0"/>
                <w:sz w:val="21"/>
                <w:szCs w:val="21"/>
              </w:rPr>
            </w:pPr>
            <w:r>
              <w:rPr>
                <w:rFonts w:ascii="宋体" w:hAnsi="宋体" w:eastAsia="宋体"/>
                <w:b/>
                <w:bCs w:val="0"/>
                <w:sz w:val="21"/>
                <w:szCs w:val="21"/>
              </w:rPr>
              <w:t>技术服务机构因本条第一款、第二款规定的违法行为受到处罚的，对其直接负责的主管人员和其他直接责任人员处2万元以上20万元以下的罚款，5年内禁止从事温室气体排放相关检验检测、年度排放报告编制和技术审核业务；情节严重的，终身禁止从事前述业务。</w:t>
            </w:r>
          </w:p>
        </w:tc>
      </w:tr>
      <w:tr w14:paraId="413E8FC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noWrap w:val="0"/>
            <w:vAlign w:val="center"/>
          </w:tcPr>
          <w:p w14:paraId="56AF0DC9">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裁量因素</w:t>
            </w:r>
          </w:p>
        </w:tc>
        <w:tc>
          <w:tcPr>
            <w:tcW w:w="6946" w:type="dxa"/>
            <w:noWrap w:val="0"/>
            <w:vAlign w:val="center"/>
          </w:tcPr>
          <w:p w14:paraId="0BCFE4A3">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裁量因子</w:t>
            </w:r>
          </w:p>
        </w:tc>
        <w:tc>
          <w:tcPr>
            <w:tcW w:w="1032" w:type="dxa"/>
            <w:noWrap w:val="0"/>
            <w:vAlign w:val="center"/>
          </w:tcPr>
          <w:p w14:paraId="19C5D595">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裁量等级</w:t>
            </w:r>
          </w:p>
        </w:tc>
      </w:tr>
      <w:tr w14:paraId="56C367C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restart"/>
            <w:noWrap w:val="0"/>
            <w:vAlign w:val="center"/>
          </w:tcPr>
          <w:p w14:paraId="3444372C">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行为情形</w:t>
            </w:r>
          </w:p>
        </w:tc>
        <w:tc>
          <w:tcPr>
            <w:tcW w:w="6946" w:type="dxa"/>
            <w:noWrap w:val="0"/>
            <w:vAlign w:val="center"/>
          </w:tcPr>
          <w:p w14:paraId="40E1F225">
            <w:pPr>
              <w:spacing w:before="20" w:after="20" w:line="300" w:lineRule="auto"/>
              <w:rPr>
                <w:rFonts w:hint="eastAsia" w:ascii="宋体" w:hAnsi="宋体" w:eastAsia="宋体"/>
                <w:b/>
                <w:bCs w:val="0"/>
                <w:sz w:val="21"/>
                <w:szCs w:val="21"/>
              </w:rPr>
            </w:pPr>
            <w:r>
              <w:rPr>
                <w:rFonts w:ascii="宋体" w:hAnsi="宋体" w:eastAsia="宋体"/>
                <w:b/>
                <w:bCs w:val="0"/>
                <w:sz w:val="21"/>
                <w:szCs w:val="21"/>
              </w:rPr>
              <w:t>出具不实的检验检测报告/出具的年度排放报告、技术审核意见存在重大缺陷或者遗漏</w:t>
            </w:r>
          </w:p>
        </w:tc>
        <w:tc>
          <w:tcPr>
            <w:tcW w:w="1032" w:type="dxa"/>
            <w:noWrap w:val="0"/>
            <w:vAlign w:val="center"/>
          </w:tcPr>
          <w:p w14:paraId="1DCCDC2C">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1</w:t>
            </w:r>
          </w:p>
        </w:tc>
      </w:tr>
      <w:tr w14:paraId="40AA553B">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top"/>
          </w:tcPr>
          <w:p w14:paraId="542E7BC0">
            <w:pPr>
              <w:spacing w:before="20" w:after="20" w:line="300" w:lineRule="auto"/>
              <w:jc w:val="center"/>
              <w:rPr>
                <w:rFonts w:hint="eastAsia" w:ascii="宋体" w:hAnsi="宋体" w:eastAsia="宋体"/>
                <w:b/>
                <w:bCs w:val="0"/>
                <w:sz w:val="21"/>
                <w:szCs w:val="21"/>
              </w:rPr>
            </w:pPr>
          </w:p>
        </w:tc>
        <w:tc>
          <w:tcPr>
            <w:tcW w:w="6946" w:type="dxa"/>
            <w:noWrap w:val="0"/>
            <w:vAlign w:val="center"/>
          </w:tcPr>
          <w:p w14:paraId="63BAB2B1">
            <w:pPr>
              <w:spacing w:before="20" w:after="20" w:line="300" w:lineRule="auto"/>
              <w:rPr>
                <w:rFonts w:hint="eastAsia" w:ascii="宋体" w:hAnsi="宋体" w:eastAsia="宋体"/>
                <w:b/>
                <w:bCs w:val="0"/>
                <w:sz w:val="21"/>
                <w:szCs w:val="21"/>
              </w:rPr>
            </w:pPr>
            <w:r>
              <w:rPr>
                <w:rFonts w:ascii="宋体" w:hAnsi="宋体" w:eastAsia="宋体"/>
                <w:b/>
                <w:bCs w:val="0"/>
                <w:sz w:val="21"/>
                <w:szCs w:val="21"/>
              </w:rPr>
              <w:t>出具虚假的检验检测报告/在编制、审核过程中篡改、伪造数据资料，使用虚假数据资料或者实施其他弄虚作假行为</w:t>
            </w:r>
          </w:p>
        </w:tc>
        <w:tc>
          <w:tcPr>
            <w:tcW w:w="1032" w:type="dxa"/>
            <w:noWrap w:val="0"/>
            <w:vAlign w:val="center"/>
          </w:tcPr>
          <w:p w14:paraId="09E250E7">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5</w:t>
            </w:r>
          </w:p>
        </w:tc>
      </w:tr>
      <w:tr w14:paraId="1C2DC84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restart"/>
            <w:noWrap w:val="0"/>
            <w:vAlign w:val="center"/>
          </w:tcPr>
          <w:p w14:paraId="192CD2FD">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涉及报告、意见数量</w:t>
            </w:r>
          </w:p>
        </w:tc>
        <w:tc>
          <w:tcPr>
            <w:tcW w:w="6946" w:type="dxa"/>
            <w:noWrap w:val="0"/>
            <w:vAlign w:val="center"/>
          </w:tcPr>
          <w:p w14:paraId="43470614">
            <w:pPr>
              <w:spacing w:before="20" w:after="20" w:line="300" w:lineRule="auto"/>
              <w:rPr>
                <w:rFonts w:hint="eastAsia" w:ascii="宋体" w:hAnsi="宋体" w:eastAsia="宋体"/>
                <w:b/>
                <w:bCs w:val="0"/>
                <w:sz w:val="21"/>
                <w:szCs w:val="21"/>
              </w:rPr>
            </w:pPr>
            <w:r>
              <w:rPr>
                <w:rFonts w:ascii="宋体" w:hAnsi="宋体" w:eastAsia="宋体"/>
                <w:b/>
                <w:bCs w:val="0"/>
                <w:sz w:val="21"/>
                <w:szCs w:val="21"/>
              </w:rPr>
              <w:t>1份</w:t>
            </w:r>
          </w:p>
        </w:tc>
        <w:tc>
          <w:tcPr>
            <w:tcW w:w="1032" w:type="dxa"/>
            <w:noWrap w:val="0"/>
            <w:vAlign w:val="center"/>
          </w:tcPr>
          <w:p w14:paraId="6BDB9085">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1</w:t>
            </w:r>
          </w:p>
        </w:tc>
      </w:tr>
      <w:tr w14:paraId="24C6DA5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top"/>
          </w:tcPr>
          <w:p w14:paraId="240D4E03">
            <w:pPr>
              <w:spacing w:before="20" w:after="20" w:line="300" w:lineRule="auto"/>
              <w:jc w:val="center"/>
              <w:rPr>
                <w:rFonts w:hint="eastAsia" w:ascii="宋体" w:hAnsi="宋体" w:eastAsia="宋体"/>
                <w:b/>
                <w:bCs w:val="0"/>
                <w:sz w:val="21"/>
                <w:szCs w:val="21"/>
              </w:rPr>
            </w:pPr>
          </w:p>
        </w:tc>
        <w:tc>
          <w:tcPr>
            <w:tcW w:w="6946" w:type="dxa"/>
            <w:noWrap w:val="0"/>
            <w:vAlign w:val="center"/>
          </w:tcPr>
          <w:p w14:paraId="39EDAE9B">
            <w:pPr>
              <w:spacing w:before="20" w:after="20" w:line="300" w:lineRule="auto"/>
              <w:rPr>
                <w:rFonts w:hint="eastAsia" w:ascii="宋体" w:hAnsi="宋体" w:eastAsia="宋体"/>
                <w:b/>
                <w:bCs w:val="0"/>
                <w:sz w:val="21"/>
                <w:szCs w:val="21"/>
              </w:rPr>
            </w:pPr>
            <w:r>
              <w:rPr>
                <w:rFonts w:ascii="宋体" w:hAnsi="宋体" w:eastAsia="宋体"/>
                <w:b/>
                <w:bCs w:val="0"/>
                <w:sz w:val="21"/>
                <w:szCs w:val="21"/>
              </w:rPr>
              <w:t>2份</w:t>
            </w:r>
          </w:p>
        </w:tc>
        <w:tc>
          <w:tcPr>
            <w:tcW w:w="1032" w:type="dxa"/>
            <w:noWrap w:val="0"/>
            <w:vAlign w:val="center"/>
          </w:tcPr>
          <w:p w14:paraId="43D4030A">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3</w:t>
            </w:r>
          </w:p>
        </w:tc>
      </w:tr>
      <w:tr w14:paraId="14BA4B7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top"/>
          </w:tcPr>
          <w:p w14:paraId="4D999F3C">
            <w:pPr>
              <w:spacing w:before="20" w:after="20" w:line="300" w:lineRule="auto"/>
              <w:jc w:val="center"/>
              <w:rPr>
                <w:rFonts w:hint="eastAsia" w:ascii="宋体" w:hAnsi="宋体" w:eastAsia="宋体"/>
                <w:b/>
                <w:bCs w:val="0"/>
                <w:sz w:val="21"/>
                <w:szCs w:val="21"/>
              </w:rPr>
            </w:pPr>
          </w:p>
        </w:tc>
        <w:tc>
          <w:tcPr>
            <w:tcW w:w="6946" w:type="dxa"/>
            <w:noWrap w:val="0"/>
            <w:vAlign w:val="center"/>
          </w:tcPr>
          <w:p w14:paraId="14CE01B8">
            <w:pPr>
              <w:spacing w:before="20" w:after="20" w:line="300" w:lineRule="auto"/>
              <w:rPr>
                <w:rFonts w:hint="eastAsia" w:ascii="宋体" w:hAnsi="宋体" w:eastAsia="宋体"/>
                <w:b/>
                <w:bCs w:val="0"/>
                <w:sz w:val="21"/>
                <w:szCs w:val="21"/>
              </w:rPr>
            </w:pPr>
            <w:r>
              <w:rPr>
                <w:rFonts w:ascii="宋体" w:hAnsi="宋体" w:eastAsia="宋体"/>
                <w:b/>
                <w:bCs w:val="0"/>
                <w:sz w:val="21"/>
                <w:szCs w:val="21"/>
              </w:rPr>
              <w:t>3份以上</w:t>
            </w:r>
          </w:p>
        </w:tc>
        <w:tc>
          <w:tcPr>
            <w:tcW w:w="1032" w:type="dxa"/>
            <w:noWrap w:val="0"/>
            <w:vAlign w:val="center"/>
          </w:tcPr>
          <w:p w14:paraId="316F3BF2">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5</w:t>
            </w:r>
          </w:p>
        </w:tc>
      </w:tr>
      <w:tr w14:paraId="30AF9EC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restart"/>
            <w:noWrap w:val="0"/>
            <w:vAlign w:val="center"/>
          </w:tcPr>
          <w:p w14:paraId="4C90C54E">
            <w:pPr>
              <w:spacing w:before="20" w:after="20" w:line="300" w:lineRule="auto"/>
              <w:jc w:val="center"/>
              <w:rPr>
                <w:rFonts w:hint="eastAsia" w:ascii="宋体" w:hAnsi="宋体" w:eastAsia="宋体"/>
                <w:b/>
                <w:bCs w:val="0"/>
                <w:sz w:val="21"/>
                <w:szCs w:val="21"/>
              </w:rPr>
            </w:pPr>
            <w:r>
              <w:rPr>
                <w:rFonts w:hint="eastAsia" w:ascii="宋体" w:hAnsi="宋体" w:eastAsia="宋体"/>
                <w:b/>
                <w:bCs w:val="0"/>
                <w:sz w:val="21"/>
                <w:szCs w:val="21"/>
              </w:rPr>
              <w:t>违法所得</w:t>
            </w:r>
          </w:p>
          <w:p w14:paraId="44C13084">
            <w:pPr>
              <w:spacing w:before="20" w:after="20" w:line="300" w:lineRule="auto"/>
              <w:jc w:val="center"/>
              <w:rPr>
                <w:rFonts w:hint="eastAsia" w:ascii="宋体" w:hAnsi="宋体" w:eastAsia="宋体"/>
                <w:b/>
                <w:bCs w:val="0"/>
                <w:sz w:val="21"/>
                <w:szCs w:val="21"/>
              </w:rPr>
            </w:pPr>
            <w:r>
              <w:rPr>
                <w:rFonts w:hint="eastAsia" w:ascii="宋体" w:hAnsi="宋体" w:eastAsia="宋体"/>
                <w:b/>
                <w:bCs w:val="0"/>
                <w:sz w:val="21"/>
                <w:szCs w:val="21"/>
              </w:rPr>
              <w:t>金额</w:t>
            </w:r>
          </w:p>
        </w:tc>
        <w:tc>
          <w:tcPr>
            <w:tcW w:w="6946" w:type="dxa"/>
            <w:noWrap w:val="0"/>
            <w:vAlign w:val="center"/>
          </w:tcPr>
          <w:p w14:paraId="7D7B147F">
            <w:pPr>
              <w:spacing w:before="20" w:after="20" w:line="300" w:lineRule="auto"/>
              <w:rPr>
                <w:rFonts w:hint="eastAsia" w:ascii="宋体" w:hAnsi="宋体" w:eastAsia="宋体"/>
                <w:b/>
                <w:bCs w:val="0"/>
                <w:sz w:val="21"/>
                <w:szCs w:val="21"/>
              </w:rPr>
            </w:pPr>
            <w:r>
              <w:rPr>
                <w:rFonts w:hint="eastAsia" w:ascii="宋体" w:hAnsi="宋体" w:eastAsia="宋体"/>
                <w:b/>
                <w:bCs w:val="0"/>
                <w:sz w:val="21"/>
                <w:szCs w:val="21"/>
              </w:rPr>
              <w:t>不足20万元</w:t>
            </w:r>
          </w:p>
        </w:tc>
        <w:tc>
          <w:tcPr>
            <w:tcW w:w="1032" w:type="dxa"/>
            <w:noWrap w:val="0"/>
            <w:vAlign w:val="center"/>
          </w:tcPr>
          <w:p w14:paraId="58D79B71">
            <w:pPr>
              <w:spacing w:before="20" w:after="20" w:line="300" w:lineRule="auto"/>
              <w:jc w:val="center"/>
              <w:rPr>
                <w:rFonts w:hint="eastAsia" w:ascii="宋体" w:hAnsi="宋体" w:eastAsia="宋体"/>
                <w:b/>
                <w:bCs w:val="0"/>
                <w:sz w:val="21"/>
                <w:szCs w:val="21"/>
              </w:rPr>
            </w:pPr>
            <w:r>
              <w:rPr>
                <w:rFonts w:hint="eastAsia" w:ascii="宋体" w:hAnsi="宋体" w:eastAsia="宋体"/>
                <w:b/>
                <w:bCs w:val="0"/>
                <w:sz w:val="21"/>
                <w:szCs w:val="21"/>
              </w:rPr>
              <w:t>1</w:t>
            </w:r>
          </w:p>
        </w:tc>
      </w:tr>
      <w:tr w14:paraId="037579F0">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top"/>
          </w:tcPr>
          <w:p w14:paraId="76C65987">
            <w:pPr>
              <w:spacing w:before="20" w:after="20" w:line="300" w:lineRule="auto"/>
              <w:jc w:val="center"/>
              <w:rPr>
                <w:rFonts w:hint="eastAsia" w:ascii="宋体" w:hAnsi="宋体" w:eastAsia="宋体"/>
                <w:b/>
                <w:bCs w:val="0"/>
                <w:sz w:val="21"/>
                <w:szCs w:val="21"/>
              </w:rPr>
            </w:pPr>
          </w:p>
        </w:tc>
        <w:tc>
          <w:tcPr>
            <w:tcW w:w="6946" w:type="dxa"/>
            <w:noWrap w:val="0"/>
            <w:vAlign w:val="center"/>
          </w:tcPr>
          <w:p w14:paraId="39B3B020">
            <w:pPr>
              <w:spacing w:before="20" w:after="20" w:line="300" w:lineRule="auto"/>
              <w:rPr>
                <w:rFonts w:hint="eastAsia" w:ascii="宋体" w:hAnsi="宋体" w:eastAsia="宋体"/>
                <w:b/>
                <w:bCs w:val="0"/>
                <w:sz w:val="21"/>
                <w:szCs w:val="21"/>
              </w:rPr>
            </w:pPr>
            <w:r>
              <w:rPr>
                <w:rFonts w:hint="eastAsia" w:ascii="Times New Roman" w:hAnsi="Times New Roman"/>
                <w:b/>
                <w:bCs w:val="0"/>
              </w:rPr>
              <w:t>20</w:t>
            </w:r>
            <w:r>
              <w:rPr>
                <w:rFonts w:ascii="Times New Roman" w:hAnsi="Times New Roman"/>
                <w:b/>
                <w:bCs w:val="0"/>
              </w:rPr>
              <w:t>万元以上</w:t>
            </w:r>
            <w:r>
              <w:rPr>
                <w:rFonts w:hint="eastAsia" w:ascii="Times New Roman" w:hAnsi="Times New Roman"/>
                <w:b/>
                <w:bCs w:val="0"/>
              </w:rPr>
              <w:t>不足5</w:t>
            </w:r>
            <w:r>
              <w:rPr>
                <w:rFonts w:ascii="Times New Roman" w:hAnsi="Times New Roman"/>
                <w:b/>
                <w:bCs w:val="0"/>
              </w:rPr>
              <w:t>0万元</w:t>
            </w:r>
          </w:p>
        </w:tc>
        <w:tc>
          <w:tcPr>
            <w:tcW w:w="1032" w:type="dxa"/>
            <w:noWrap w:val="0"/>
            <w:vAlign w:val="center"/>
          </w:tcPr>
          <w:p w14:paraId="4AC90A0C">
            <w:pPr>
              <w:spacing w:before="20" w:after="20" w:line="300" w:lineRule="auto"/>
              <w:jc w:val="center"/>
              <w:rPr>
                <w:rFonts w:hint="eastAsia" w:ascii="宋体" w:hAnsi="宋体" w:eastAsia="宋体"/>
                <w:b/>
                <w:bCs w:val="0"/>
                <w:sz w:val="21"/>
                <w:szCs w:val="21"/>
              </w:rPr>
            </w:pPr>
            <w:r>
              <w:rPr>
                <w:rFonts w:hint="eastAsia" w:ascii="宋体" w:hAnsi="宋体" w:eastAsia="宋体"/>
                <w:b/>
                <w:bCs w:val="0"/>
                <w:sz w:val="21"/>
                <w:szCs w:val="21"/>
              </w:rPr>
              <w:t>2</w:t>
            </w:r>
          </w:p>
        </w:tc>
      </w:tr>
      <w:tr w14:paraId="1AE5299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top"/>
          </w:tcPr>
          <w:p w14:paraId="58013A56">
            <w:pPr>
              <w:spacing w:before="20" w:after="20" w:line="300" w:lineRule="auto"/>
              <w:jc w:val="center"/>
              <w:rPr>
                <w:rFonts w:hint="eastAsia" w:ascii="宋体" w:hAnsi="宋体" w:eastAsia="宋体"/>
                <w:b/>
                <w:bCs w:val="0"/>
                <w:sz w:val="21"/>
                <w:szCs w:val="21"/>
              </w:rPr>
            </w:pPr>
          </w:p>
        </w:tc>
        <w:tc>
          <w:tcPr>
            <w:tcW w:w="6946" w:type="dxa"/>
            <w:noWrap w:val="0"/>
            <w:vAlign w:val="center"/>
          </w:tcPr>
          <w:p w14:paraId="730E9A58">
            <w:pPr>
              <w:spacing w:before="20" w:after="20" w:line="300" w:lineRule="auto"/>
              <w:rPr>
                <w:rFonts w:hint="eastAsia" w:ascii="宋体" w:hAnsi="宋体" w:eastAsia="宋体"/>
                <w:b/>
                <w:bCs w:val="0"/>
                <w:sz w:val="21"/>
                <w:szCs w:val="21"/>
              </w:rPr>
            </w:pPr>
            <w:r>
              <w:rPr>
                <w:rFonts w:hint="eastAsia" w:ascii="Times New Roman" w:hAnsi="Times New Roman"/>
                <w:b/>
                <w:bCs w:val="0"/>
              </w:rPr>
              <w:t>5</w:t>
            </w:r>
            <w:r>
              <w:rPr>
                <w:rFonts w:ascii="Times New Roman" w:hAnsi="Times New Roman"/>
                <w:b/>
                <w:bCs w:val="0"/>
              </w:rPr>
              <w:t>0万元以上</w:t>
            </w:r>
            <w:r>
              <w:rPr>
                <w:rFonts w:hint="eastAsia" w:ascii="Times New Roman" w:hAnsi="Times New Roman"/>
                <w:b/>
                <w:bCs w:val="0"/>
              </w:rPr>
              <w:t>不足1</w:t>
            </w:r>
            <w:r>
              <w:rPr>
                <w:rFonts w:ascii="Times New Roman" w:hAnsi="Times New Roman"/>
                <w:b/>
                <w:bCs w:val="0"/>
              </w:rPr>
              <w:t>00万元</w:t>
            </w:r>
          </w:p>
        </w:tc>
        <w:tc>
          <w:tcPr>
            <w:tcW w:w="1032" w:type="dxa"/>
            <w:noWrap w:val="0"/>
            <w:vAlign w:val="center"/>
          </w:tcPr>
          <w:p w14:paraId="757D1A96">
            <w:pPr>
              <w:spacing w:before="20" w:after="20" w:line="300" w:lineRule="auto"/>
              <w:jc w:val="center"/>
              <w:rPr>
                <w:rFonts w:hint="eastAsia" w:ascii="宋体" w:hAnsi="宋体" w:eastAsia="宋体"/>
                <w:b/>
                <w:bCs w:val="0"/>
                <w:sz w:val="21"/>
                <w:szCs w:val="21"/>
              </w:rPr>
            </w:pPr>
            <w:r>
              <w:rPr>
                <w:rFonts w:hint="eastAsia" w:ascii="宋体" w:hAnsi="宋体" w:eastAsia="宋体"/>
                <w:b/>
                <w:bCs w:val="0"/>
                <w:sz w:val="21"/>
                <w:szCs w:val="21"/>
              </w:rPr>
              <w:t>3</w:t>
            </w:r>
          </w:p>
        </w:tc>
      </w:tr>
      <w:tr w14:paraId="34C855AA">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top"/>
          </w:tcPr>
          <w:p w14:paraId="3FF25347">
            <w:pPr>
              <w:spacing w:before="20" w:after="20" w:line="300" w:lineRule="auto"/>
              <w:jc w:val="center"/>
              <w:rPr>
                <w:rFonts w:hint="eastAsia" w:ascii="宋体" w:hAnsi="宋体" w:eastAsia="宋体"/>
                <w:b/>
                <w:bCs w:val="0"/>
                <w:sz w:val="21"/>
                <w:szCs w:val="21"/>
              </w:rPr>
            </w:pPr>
          </w:p>
        </w:tc>
        <w:tc>
          <w:tcPr>
            <w:tcW w:w="6946" w:type="dxa"/>
            <w:noWrap w:val="0"/>
            <w:vAlign w:val="center"/>
          </w:tcPr>
          <w:p w14:paraId="23747117">
            <w:pPr>
              <w:spacing w:before="20" w:after="20" w:line="300" w:lineRule="auto"/>
              <w:rPr>
                <w:rFonts w:hint="eastAsia" w:ascii="宋体" w:hAnsi="宋体" w:eastAsia="宋体"/>
                <w:b/>
                <w:bCs w:val="0"/>
                <w:sz w:val="21"/>
                <w:szCs w:val="21"/>
              </w:rPr>
            </w:pPr>
            <w:r>
              <w:rPr>
                <w:rFonts w:ascii="Times New Roman" w:hAnsi="Times New Roman"/>
                <w:b/>
                <w:bCs w:val="0"/>
              </w:rPr>
              <w:t>100万元以上</w:t>
            </w:r>
            <w:r>
              <w:rPr>
                <w:rFonts w:hint="eastAsia" w:ascii="Times New Roman" w:hAnsi="Times New Roman"/>
                <w:b/>
                <w:bCs w:val="0"/>
              </w:rPr>
              <w:t>不足</w:t>
            </w:r>
            <w:r>
              <w:rPr>
                <w:rFonts w:ascii="Times New Roman" w:hAnsi="Times New Roman"/>
                <w:b/>
                <w:bCs w:val="0"/>
              </w:rPr>
              <w:t>500万元</w:t>
            </w:r>
          </w:p>
        </w:tc>
        <w:tc>
          <w:tcPr>
            <w:tcW w:w="1032" w:type="dxa"/>
            <w:noWrap w:val="0"/>
            <w:vAlign w:val="center"/>
          </w:tcPr>
          <w:p w14:paraId="5600C14D">
            <w:pPr>
              <w:spacing w:before="20" w:after="20" w:line="300" w:lineRule="auto"/>
              <w:jc w:val="center"/>
              <w:rPr>
                <w:rFonts w:hint="eastAsia" w:ascii="宋体" w:hAnsi="宋体" w:eastAsia="宋体"/>
                <w:b/>
                <w:bCs w:val="0"/>
                <w:sz w:val="21"/>
                <w:szCs w:val="21"/>
              </w:rPr>
            </w:pPr>
            <w:r>
              <w:rPr>
                <w:rFonts w:hint="eastAsia" w:ascii="宋体" w:hAnsi="宋体" w:eastAsia="宋体"/>
                <w:b/>
                <w:bCs w:val="0"/>
                <w:sz w:val="21"/>
                <w:szCs w:val="21"/>
              </w:rPr>
              <w:t>4</w:t>
            </w:r>
          </w:p>
        </w:tc>
      </w:tr>
      <w:tr w14:paraId="3A6D56FD">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top"/>
          </w:tcPr>
          <w:p w14:paraId="465D80DD">
            <w:pPr>
              <w:spacing w:before="20" w:after="20" w:line="300" w:lineRule="auto"/>
              <w:jc w:val="center"/>
              <w:rPr>
                <w:rFonts w:hint="eastAsia" w:ascii="宋体" w:hAnsi="宋体" w:eastAsia="宋体"/>
                <w:b/>
                <w:bCs w:val="0"/>
                <w:sz w:val="21"/>
                <w:szCs w:val="21"/>
              </w:rPr>
            </w:pPr>
          </w:p>
        </w:tc>
        <w:tc>
          <w:tcPr>
            <w:tcW w:w="6946" w:type="dxa"/>
            <w:noWrap w:val="0"/>
            <w:vAlign w:val="center"/>
          </w:tcPr>
          <w:p w14:paraId="0DB6B18C">
            <w:pPr>
              <w:spacing w:before="20" w:after="20" w:line="300" w:lineRule="auto"/>
              <w:rPr>
                <w:rFonts w:hint="eastAsia" w:ascii="宋体" w:hAnsi="宋体" w:eastAsia="宋体"/>
                <w:b/>
                <w:bCs w:val="0"/>
                <w:sz w:val="21"/>
                <w:szCs w:val="21"/>
              </w:rPr>
            </w:pPr>
            <w:r>
              <w:rPr>
                <w:rFonts w:ascii="Times New Roman" w:hAnsi="Times New Roman"/>
                <w:b/>
                <w:bCs w:val="0"/>
              </w:rPr>
              <w:t>500万元</w:t>
            </w:r>
            <w:r>
              <w:rPr>
                <w:rFonts w:hint="eastAsia" w:ascii="Times New Roman" w:hAnsi="Times New Roman"/>
                <w:b/>
                <w:bCs w:val="0"/>
              </w:rPr>
              <w:t>以上</w:t>
            </w:r>
          </w:p>
        </w:tc>
        <w:tc>
          <w:tcPr>
            <w:tcW w:w="1032" w:type="dxa"/>
            <w:noWrap w:val="0"/>
            <w:vAlign w:val="center"/>
          </w:tcPr>
          <w:p w14:paraId="51CC3085">
            <w:pPr>
              <w:spacing w:before="20" w:after="20" w:line="300" w:lineRule="auto"/>
              <w:jc w:val="center"/>
              <w:rPr>
                <w:rFonts w:hint="eastAsia" w:ascii="宋体" w:hAnsi="宋体" w:eastAsia="宋体"/>
                <w:b/>
                <w:bCs w:val="0"/>
                <w:sz w:val="21"/>
                <w:szCs w:val="21"/>
              </w:rPr>
            </w:pPr>
            <w:r>
              <w:rPr>
                <w:rFonts w:hint="eastAsia" w:ascii="宋体" w:hAnsi="宋体" w:eastAsia="宋体"/>
                <w:b/>
                <w:bCs w:val="0"/>
                <w:sz w:val="21"/>
                <w:szCs w:val="21"/>
              </w:rPr>
              <w:t>5</w:t>
            </w:r>
          </w:p>
        </w:tc>
      </w:tr>
      <w:tr w14:paraId="7891F905">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restart"/>
            <w:noWrap w:val="0"/>
            <w:vAlign w:val="center"/>
          </w:tcPr>
          <w:p w14:paraId="2C88EB31">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造成后果</w:t>
            </w:r>
          </w:p>
        </w:tc>
        <w:tc>
          <w:tcPr>
            <w:tcW w:w="6946" w:type="dxa"/>
            <w:noWrap w:val="0"/>
            <w:vAlign w:val="center"/>
          </w:tcPr>
          <w:p w14:paraId="3E4404BF">
            <w:pPr>
              <w:spacing w:before="20" w:after="20" w:line="300" w:lineRule="auto"/>
              <w:rPr>
                <w:rFonts w:hint="eastAsia" w:ascii="宋体" w:hAnsi="宋体" w:eastAsia="宋体"/>
                <w:b/>
                <w:bCs w:val="0"/>
                <w:sz w:val="21"/>
                <w:szCs w:val="21"/>
              </w:rPr>
            </w:pPr>
            <w:r>
              <w:rPr>
                <w:rFonts w:ascii="宋体" w:hAnsi="宋体" w:eastAsia="宋体"/>
                <w:b/>
                <w:bCs w:val="0"/>
                <w:sz w:val="21"/>
                <w:szCs w:val="21"/>
              </w:rPr>
              <w:t>未影响核查结论、配额分配或者清缴</w:t>
            </w:r>
          </w:p>
        </w:tc>
        <w:tc>
          <w:tcPr>
            <w:tcW w:w="1032" w:type="dxa"/>
            <w:noWrap w:val="0"/>
            <w:vAlign w:val="center"/>
          </w:tcPr>
          <w:p w14:paraId="149EFFD4">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1</w:t>
            </w:r>
          </w:p>
        </w:tc>
      </w:tr>
      <w:tr w14:paraId="5749487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 w:type="dxa"/>
            <w:bottom w:w="0" w:type="dxa"/>
            <w:right w:w="10" w:type="dxa"/>
          </w:tblCellMar>
        </w:tblPrEx>
        <w:trPr>
          <w:jc w:val="center"/>
        </w:trPr>
        <w:tc>
          <w:tcPr>
            <w:tcW w:w="1126" w:type="dxa"/>
            <w:vMerge w:val="continue"/>
            <w:noWrap w:val="0"/>
            <w:vAlign w:val="top"/>
          </w:tcPr>
          <w:p w14:paraId="0DFA9D31">
            <w:pPr>
              <w:spacing w:before="20" w:after="20" w:line="300" w:lineRule="auto"/>
              <w:jc w:val="center"/>
              <w:rPr>
                <w:rFonts w:hint="eastAsia" w:ascii="宋体" w:hAnsi="宋体" w:eastAsia="宋体"/>
                <w:b/>
                <w:bCs w:val="0"/>
                <w:sz w:val="21"/>
                <w:szCs w:val="21"/>
              </w:rPr>
            </w:pPr>
          </w:p>
        </w:tc>
        <w:tc>
          <w:tcPr>
            <w:tcW w:w="6946" w:type="dxa"/>
            <w:noWrap w:val="0"/>
            <w:vAlign w:val="center"/>
          </w:tcPr>
          <w:p w14:paraId="2F3DF732">
            <w:pPr>
              <w:spacing w:before="20" w:after="20" w:line="300" w:lineRule="auto"/>
              <w:rPr>
                <w:rFonts w:hint="eastAsia" w:ascii="宋体" w:hAnsi="宋体" w:eastAsia="宋体"/>
                <w:b/>
                <w:bCs w:val="0"/>
                <w:sz w:val="21"/>
                <w:szCs w:val="21"/>
              </w:rPr>
            </w:pPr>
            <w:r>
              <w:rPr>
                <w:rFonts w:ascii="宋体" w:hAnsi="宋体" w:eastAsia="宋体"/>
                <w:b/>
                <w:bCs w:val="0"/>
                <w:sz w:val="21"/>
                <w:szCs w:val="21"/>
              </w:rPr>
              <w:t>影响核查结论、配额分配或者清缴</w:t>
            </w:r>
          </w:p>
        </w:tc>
        <w:tc>
          <w:tcPr>
            <w:tcW w:w="1032" w:type="dxa"/>
            <w:noWrap w:val="0"/>
            <w:vAlign w:val="center"/>
          </w:tcPr>
          <w:p w14:paraId="7419D2AC">
            <w:pPr>
              <w:spacing w:before="20" w:after="20" w:line="300" w:lineRule="auto"/>
              <w:jc w:val="center"/>
              <w:rPr>
                <w:rFonts w:hint="eastAsia" w:ascii="宋体" w:hAnsi="宋体" w:eastAsia="宋体"/>
                <w:b/>
                <w:bCs w:val="0"/>
                <w:sz w:val="21"/>
                <w:szCs w:val="21"/>
              </w:rPr>
            </w:pPr>
            <w:r>
              <w:rPr>
                <w:rFonts w:ascii="宋体" w:hAnsi="宋体" w:eastAsia="宋体"/>
                <w:b/>
                <w:bCs w:val="0"/>
                <w:sz w:val="21"/>
                <w:szCs w:val="21"/>
              </w:rPr>
              <w:t>5</w:t>
            </w:r>
          </w:p>
        </w:tc>
      </w:tr>
    </w:tbl>
    <w:p w14:paraId="43A48657">
      <w:pPr>
        <w:spacing w:before="40" w:after="40" w:line="400" w:lineRule="auto"/>
        <w:jc w:val="both"/>
        <w:rPr>
          <w:rFonts w:ascii="Times New Roman" w:hAnsi="Times New Roman" w:eastAsia="黑体"/>
          <w:b/>
          <w:sz w:val="24"/>
        </w:rPr>
      </w:pPr>
      <w:r>
        <w:rPr>
          <w:rFonts w:hint="eastAsia" w:ascii="Times New Roman" w:hAnsi="Times New Roman" w:eastAsia="黑体"/>
          <w:b/>
          <w:sz w:val="24"/>
        </w:rPr>
        <w:t>3</w:t>
      </w:r>
      <w:r>
        <w:rPr>
          <w:rFonts w:ascii="Times New Roman" w:hAnsi="Times New Roman" w:eastAsia="黑体"/>
          <w:b/>
          <w:sz w:val="24"/>
        </w:rPr>
        <w:t>.在禁止养殖区域内建设畜禽养殖场、养殖小区的行为</w:t>
      </w:r>
    </w:p>
    <w:tbl>
      <w:tblPr>
        <w:tblStyle w:val="8"/>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88"/>
        <w:gridCol w:w="6945"/>
        <w:gridCol w:w="1098"/>
      </w:tblGrid>
      <w:tr w14:paraId="1EED0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 w:hRule="atLeast"/>
        </w:trPr>
        <w:tc>
          <w:tcPr>
            <w:tcW w:w="547" w:type="pct"/>
            <w:noWrap w:val="0"/>
            <w:tcMar>
              <w:top w:w="0" w:type="dxa"/>
              <w:left w:w="57" w:type="dxa"/>
              <w:bottom w:w="0" w:type="dxa"/>
              <w:right w:w="57" w:type="dxa"/>
            </w:tcMar>
            <w:vAlign w:val="center"/>
          </w:tcPr>
          <w:p w14:paraId="25540A4E">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违反条款</w:t>
            </w:r>
          </w:p>
        </w:tc>
        <w:tc>
          <w:tcPr>
            <w:tcW w:w="4453" w:type="pct"/>
            <w:gridSpan w:val="2"/>
            <w:noWrap w:val="0"/>
            <w:tcMar>
              <w:top w:w="0" w:type="dxa"/>
              <w:left w:w="57" w:type="dxa"/>
              <w:bottom w:w="0" w:type="dxa"/>
              <w:right w:w="57" w:type="dxa"/>
            </w:tcMar>
            <w:vAlign w:val="center"/>
          </w:tcPr>
          <w:p w14:paraId="28F8E589">
            <w:pPr>
              <w:pStyle w:val="20"/>
              <w:autoSpaceDE w:val="0"/>
              <w:autoSpaceDN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1.</w:t>
            </w:r>
            <w:r>
              <w:rPr>
                <w:rFonts w:cs="Times New Roman"/>
                <w:sz w:val="21"/>
                <w:szCs w:val="21"/>
              </w:rPr>
              <w:t>《</w:t>
            </w:r>
            <w:bookmarkStart w:id="35" w:name="OLE_LINK16"/>
            <w:r>
              <w:rPr>
                <w:rFonts w:cs="Times New Roman"/>
                <w:sz w:val="21"/>
                <w:szCs w:val="21"/>
              </w:rPr>
              <w:t>畜禽规模养殖污染防治条例</w:t>
            </w:r>
            <w:bookmarkEnd w:id="35"/>
            <w:r>
              <w:rPr>
                <w:rFonts w:cs="Times New Roman"/>
                <w:sz w:val="21"/>
                <w:szCs w:val="21"/>
              </w:rPr>
              <w:t>》第十一条 禁止在下列区域内建设畜禽养殖场、养殖小区：</w:t>
            </w:r>
          </w:p>
          <w:p w14:paraId="0BC798A4">
            <w:pPr>
              <w:pStyle w:val="20"/>
              <w:autoSpaceDE w:val="0"/>
              <w:autoSpaceDN w:val="0"/>
              <w:spacing w:before="20" w:after="20" w:line="300" w:lineRule="auto"/>
              <w:ind w:left="0" w:right="0" w:rightChars="0" w:firstLine="0"/>
              <w:textAlignment w:val="baseline"/>
              <w:rPr>
                <w:rFonts w:hint="eastAsia" w:cs="Times New Roman"/>
                <w:sz w:val="21"/>
                <w:szCs w:val="21"/>
              </w:rPr>
            </w:pPr>
            <w:r>
              <w:rPr>
                <w:rFonts w:cs="Times New Roman"/>
                <w:sz w:val="21"/>
                <w:szCs w:val="21"/>
              </w:rPr>
              <w:t>（一）饮用水水源保护区，风景名胜区；</w:t>
            </w:r>
          </w:p>
          <w:p w14:paraId="4586C381">
            <w:pPr>
              <w:pStyle w:val="20"/>
              <w:autoSpaceDE w:val="0"/>
              <w:autoSpaceDN w:val="0"/>
              <w:spacing w:before="20" w:after="20" w:line="300" w:lineRule="auto"/>
              <w:ind w:left="0" w:right="0" w:rightChars="0" w:firstLine="0"/>
              <w:textAlignment w:val="baseline"/>
              <w:rPr>
                <w:rFonts w:hint="eastAsia" w:cs="Times New Roman"/>
                <w:sz w:val="21"/>
                <w:szCs w:val="21"/>
              </w:rPr>
            </w:pPr>
            <w:r>
              <w:rPr>
                <w:rFonts w:cs="Times New Roman"/>
                <w:sz w:val="21"/>
                <w:szCs w:val="21"/>
              </w:rPr>
              <w:t>（二）自然保护区的核心区和缓冲区；</w:t>
            </w:r>
          </w:p>
          <w:p w14:paraId="1D46DDBA">
            <w:pPr>
              <w:pStyle w:val="20"/>
              <w:autoSpaceDE w:val="0"/>
              <w:autoSpaceDN w:val="0"/>
              <w:spacing w:before="20" w:after="20" w:line="300" w:lineRule="auto"/>
              <w:ind w:left="0" w:right="0" w:rightChars="0" w:firstLine="0"/>
              <w:textAlignment w:val="baseline"/>
              <w:rPr>
                <w:rFonts w:hint="eastAsia" w:cs="Times New Roman"/>
                <w:sz w:val="21"/>
                <w:szCs w:val="21"/>
              </w:rPr>
            </w:pPr>
            <w:r>
              <w:rPr>
                <w:rFonts w:cs="Times New Roman"/>
                <w:sz w:val="21"/>
                <w:szCs w:val="21"/>
              </w:rPr>
              <w:t>（三）城镇居民区、文化教育科学研究区等人口集中区域；</w:t>
            </w:r>
          </w:p>
          <w:p w14:paraId="6C92FE3A">
            <w:pPr>
              <w:pStyle w:val="20"/>
              <w:autoSpaceDE w:val="0"/>
              <w:autoSpaceDN w:val="0"/>
              <w:spacing w:before="20" w:after="20" w:line="300" w:lineRule="auto"/>
              <w:ind w:left="0" w:right="0" w:rightChars="0" w:firstLine="0"/>
              <w:textAlignment w:val="baseline"/>
              <w:rPr>
                <w:rFonts w:hint="eastAsia" w:cs="Times New Roman"/>
                <w:sz w:val="21"/>
                <w:szCs w:val="21"/>
              </w:rPr>
            </w:pPr>
            <w:r>
              <w:rPr>
                <w:rFonts w:cs="Times New Roman"/>
                <w:sz w:val="21"/>
                <w:szCs w:val="21"/>
              </w:rPr>
              <w:t>（四）法律、法规规定的其他禁止养殖区域。</w:t>
            </w:r>
          </w:p>
          <w:p w14:paraId="7813C335">
            <w:pPr>
              <w:pStyle w:val="20"/>
              <w:autoSpaceDE w:val="0"/>
              <w:autoSpaceDN w:val="0"/>
              <w:spacing w:before="20" w:after="20" w:line="300" w:lineRule="auto"/>
              <w:ind w:left="0" w:right="0" w:rightChars="0" w:firstLine="0"/>
              <w:textAlignment w:val="baseline"/>
              <w:rPr>
                <w:rFonts w:hint="eastAsia" w:cs="Times New Roman"/>
                <w:sz w:val="21"/>
                <w:szCs w:val="21"/>
              </w:rPr>
            </w:pPr>
            <w:r>
              <w:rPr>
                <w:rFonts w:hint="eastAsia"/>
                <w:b/>
                <w:bCs/>
                <w:sz w:val="21"/>
                <w:szCs w:val="21"/>
              </w:rPr>
              <w:t>2.《云南省滇池保护条例》</w:t>
            </w:r>
            <w:r>
              <w:rPr>
                <w:b/>
                <w:bCs/>
                <w:sz w:val="21"/>
                <w:szCs w:val="21"/>
              </w:rPr>
              <w:t>（2026修订版）</w:t>
            </w:r>
            <w:r>
              <w:rPr>
                <w:rFonts w:hint="eastAsia"/>
                <w:b/>
                <w:bCs/>
                <w:sz w:val="21"/>
                <w:szCs w:val="21"/>
              </w:rPr>
              <w:t>第四十三条第二款 生态保护核心区全面禁止畜禽养殖；生态保护缓冲区全面禁止畜禽规模养殖，对畜禽非规模养殖实行严格管理，禁止排放污染物；绿色发展区禁止直接排放畜禽粪污，不得新增畜禽规模养殖、生猪定点屠宰厂（场）。</w:t>
            </w:r>
          </w:p>
        </w:tc>
      </w:tr>
      <w:tr w14:paraId="11580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547" w:type="pct"/>
            <w:noWrap w:val="0"/>
            <w:tcMar>
              <w:top w:w="0" w:type="dxa"/>
              <w:left w:w="57" w:type="dxa"/>
              <w:bottom w:w="0" w:type="dxa"/>
              <w:right w:w="57" w:type="dxa"/>
            </w:tcMar>
            <w:vAlign w:val="center"/>
          </w:tcPr>
          <w:p w14:paraId="13345CF9">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处罚依据</w:t>
            </w:r>
          </w:p>
        </w:tc>
        <w:tc>
          <w:tcPr>
            <w:tcW w:w="4453" w:type="pct"/>
            <w:gridSpan w:val="2"/>
            <w:noWrap w:val="0"/>
            <w:tcMar>
              <w:top w:w="0" w:type="dxa"/>
              <w:left w:w="57" w:type="dxa"/>
              <w:bottom w:w="0" w:type="dxa"/>
              <w:right w:w="57" w:type="dxa"/>
            </w:tcMar>
            <w:vAlign w:val="center"/>
          </w:tcPr>
          <w:p w14:paraId="6EB090C9">
            <w:pPr>
              <w:pStyle w:val="20"/>
              <w:autoSpaceDE w:val="0"/>
              <w:autoSpaceDN w:val="0"/>
              <w:spacing w:before="20" w:after="20" w:line="300" w:lineRule="auto"/>
              <w:ind w:left="0" w:right="0" w:rightChars="0" w:firstLine="0"/>
              <w:textAlignment w:val="baseline"/>
              <w:rPr>
                <w:rFonts w:hint="eastAsia" w:cs="Times New Roman"/>
                <w:sz w:val="21"/>
                <w:szCs w:val="21"/>
              </w:rPr>
            </w:pPr>
            <w:r>
              <w:rPr>
                <w:rFonts w:hint="eastAsia" w:cs="Times New Roman"/>
                <w:sz w:val="21"/>
                <w:szCs w:val="21"/>
              </w:rPr>
              <w:t>1.</w:t>
            </w:r>
            <w:r>
              <w:rPr>
                <w:rFonts w:cs="Times New Roman"/>
                <w:sz w:val="21"/>
                <w:szCs w:val="21"/>
              </w:rPr>
              <w:t>《畜禽规模养殖污染防治条例》第三十七条 违反本条例规定，在禁止养殖区域内建设畜禽养殖场、养殖小区的，由县级以上地方人民政府环境保护主管部门责令停止违法行为；拒不停止违法行为的，处3万元以上10万元以下的罚款，并报县级以上人民政府责令拆除或者关闭。在饮用水水源保护区建设畜禽养殖场、养殖小区的，由县级以上地方人民政府环境保护主管部门责令停止违法行为，处10万元以上50万元以下的罚款，并报经有批准权的人民政府批准，责令拆除或者关闭。</w:t>
            </w:r>
          </w:p>
          <w:p w14:paraId="6C33D913">
            <w:pPr>
              <w:pStyle w:val="20"/>
              <w:autoSpaceDE w:val="0"/>
              <w:autoSpaceDN w:val="0"/>
              <w:spacing w:before="20" w:after="20" w:line="300" w:lineRule="auto"/>
              <w:ind w:left="0" w:right="0" w:rightChars="0" w:firstLine="0"/>
              <w:textAlignment w:val="baseline"/>
              <w:rPr>
                <w:rFonts w:hint="eastAsia" w:cs="Times New Roman"/>
                <w:sz w:val="21"/>
                <w:szCs w:val="21"/>
              </w:rPr>
            </w:pPr>
            <w:r>
              <w:rPr>
                <w:rFonts w:hint="eastAsia"/>
                <w:b/>
                <w:bCs/>
                <w:sz w:val="21"/>
                <w:szCs w:val="21"/>
              </w:rPr>
              <w:t>2.《云南省滇池保护条例》</w:t>
            </w:r>
            <w:r>
              <w:rPr>
                <w:b/>
                <w:bCs/>
                <w:sz w:val="21"/>
                <w:szCs w:val="21"/>
              </w:rPr>
              <w:t>（2026修订版）</w:t>
            </w:r>
            <w:r>
              <w:rPr>
                <w:rFonts w:hint="eastAsia"/>
                <w:b/>
                <w:bCs/>
                <w:sz w:val="21"/>
                <w:szCs w:val="21"/>
              </w:rPr>
              <w:t>第七十九条第四项 违反本条例规定，在生态保护缓冲区内畜禽规模养殖的，由生态环境主管部门责令停止违法行为；拒不停止违法行为的，处3万元以上10万元以下罚款，并报县级以上人民政府责令拆除或者关闭。</w:t>
            </w:r>
          </w:p>
        </w:tc>
      </w:tr>
      <w:tr w14:paraId="3CB03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547" w:type="pct"/>
            <w:noWrap w:val="0"/>
            <w:tcMar>
              <w:top w:w="0" w:type="dxa"/>
              <w:left w:w="57" w:type="dxa"/>
              <w:bottom w:w="0" w:type="dxa"/>
              <w:right w:w="57" w:type="dxa"/>
            </w:tcMar>
            <w:vAlign w:val="center"/>
          </w:tcPr>
          <w:p w14:paraId="5D774EFD">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裁量因素</w:t>
            </w:r>
          </w:p>
        </w:tc>
        <w:tc>
          <w:tcPr>
            <w:tcW w:w="3845" w:type="pct"/>
            <w:noWrap w:val="0"/>
            <w:tcMar>
              <w:top w:w="0" w:type="dxa"/>
              <w:left w:w="57" w:type="dxa"/>
              <w:bottom w:w="0" w:type="dxa"/>
              <w:right w:w="57" w:type="dxa"/>
            </w:tcMar>
            <w:vAlign w:val="center"/>
          </w:tcPr>
          <w:p w14:paraId="69C711E5">
            <w:pPr>
              <w:autoSpaceDE w:val="0"/>
              <w:autoSpaceDN w:val="0"/>
              <w:spacing w:before="20" w:after="20" w:line="300" w:lineRule="auto"/>
              <w:jc w:val="center"/>
              <w:textAlignment w:val="baseline"/>
              <w:rPr>
                <w:rFonts w:hint="eastAsia" w:ascii="宋体" w:hAnsi="宋体" w:eastAsia="宋体"/>
                <w:b/>
                <w:bCs/>
                <w:sz w:val="21"/>
                <w:szCs w:val="21"/>
              </w:rPr>
            </w:pPr>
            <w:r>
              <w:rPr>
                <w:rFonts w:ascii="宋体" w:hAnsi="宋体" w:eastAsia="宋体"/>
                <w:b/>
                <w:bCs/>
                <w:spacing w:val="7"/>
                <w:sz w:val="21"/>
                <w:szCs w:val="21"/>
              </w:rPr>
              <w:t>裁量因子</w:t>
            </w:r>
          </w:p>
        </w:tc>
        <w:tc>
          <w:tcPr>
            <w:tcW w:w="608" w:type="pct"/>
            <w:noWrap w:val="0"/>
            <w:tcMar>
              <w:top w:w="0" w:type="dxa"/>
              <w:left w:w="57" w:type="dxa"/>
              <w:bottom w:w="0" w:type="dxa"/>
              <w:right w:w="57" w:type="dxa"/>
            </w:tcMar>
            <w:vAlign w:val="center"/>
          </w:tcPr>
          <w:p w14:paraId="28DD14FC">
            <w:pPr>
              <w:autoSpaceDE w:val="0"/>
              <w:autoSpaceDN w:val="0"/>
              <w:spacing w:before="20" w:after="20" w:line="300" w:lineRule="auto"/>
              <w:jc w:val="center"/>
              <w:textAlignment w:val="baseline"/>
              <w:rPr>
                <w:rFonts w:hint="eastAsia" w:ascii="宋体" w:hAnsi="宋体" w:eastAsia="宋体"/>
                <w:b/>
                <w:bCs/>
                <w:sz w:val="21"/>
                <w:szCs w:val="21"/>
              </w:rPr>
            </w:pPr>
            <w:r>
              <w:rPr>
                <w:rFonts w:ascii="宋体" w:hAnsi="宋体" w:eastAsia="宋体"/>
                <w:b/>
                <w:bCs/>
                <w:spacing w:val="7"/>
                <w:sz w:val="21"/>
                <w:szCs w:val="21"/>
              </w:rPr>
              <w:t>裁量等级</w:t>
            </w:r>
          </w:p>
        </w:tc>
      </w:tr>
      <w:tr w14:paraId="1EC67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547" w:type="pct"/>
            <w:vMerge w:val="restart"/>
            <w:noWrap w:val="0"/>
            <w:tcMar>
              <w:top w:w="0" w:type="dxa"/>
              <w:left w:w="57" w:type="dxa"/>
              <w:bottom w:w="0" w:type="dxa"/>
              <w:right w:w="57" w:type="dxa"/>
            </w:tcMar>
            <w:vAlign w:val="center"/>
          </w:tcPr>
          <w:p w14:paraId="12CDF638">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违法事实</w:t>
            </w:r>
          </w:p>
        </w:tc>
        <w:tc>
          <w:tcPr>
            <w:tcW w:w="3845" w:type="pct"/>
            <w:noWrap w:val="0"/>
            <w:tcMar>
              <w:top w:w="0" w:type="dxa"/>
              <w:left w:w="57" w:type="dxa"/>
              <w:bottom w:w="0" w:type="dxa"/>
              <w:right w:w="57" w:type="dxa"/>
            </w:tcMar>
            <w:vAlign w:val="center"/>
          </w:tcPr>
          <w:p w14:paraId="66F24C46">
            <w:pPr>
              <w:pStyle w:val="20"/>
              <w:autoSpaceDE w:val="0"/>
              <w:autoSpaceDN w:val="0"/>
              <w:spacing w:before="20" w:after="20" w:line="300" w:lineRule="auto"/>
              <w:ind w:left="0" w:right="0" w:rightChars="0" w:firstLine="0"/>
              <w:textAlignment w:val="baseline"/>
              <w:rPr>
                <w:rFonts w:hint="eastAsia" w:cs="Times New Roman"/>
                <w:sz w:val="21"/>
                <w:szCs w:val="21"/>
              </w:rPr>
            </w:pPr>
            <w:r>
              <w:rPr>
                <w:rFonts w:cs="Times New Roman"/>
                <w:sz w:val="21"/>
                <w:szCs w:val="21"/>
              </w:rPr>
              <w:t>在禁止养殖区域内建设畜禽养殖场、养殖小区，尚未投入生产的</w:t>
            </w:r>
          </w:p>
        </w:tc>
        <w:tc>
          <w:tcPr>
            <w:tcW w:w="608" w:type="pct"/>
            <w:noWrap w:val="0"/>
            <w:tcMar>
              <w:top w:w="0" w:type="dxa"/>
              <w:left w:w="57" w:type="dxa"/>
              <w:bottom w:w="0" w:type="dxa"/>
              <w:right w:w="57" w:type="dxa"/>
            </w:tcMar>
            <w:vAlign w:val="center"/>
          </w:tcPr>
          <w:p w14:paraId="6E34BA34">
            <w:pPr>
              <w:autoSpaceDE w:val="0"/>
              <w:autoSpaceDN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322FB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547" w:type="pct"/>
            <w:vMerge w:val="continue"/>
            <w:noWrap w:val="0"/>
            <w:tcMar>
              <w:top w:w="0" w:type="dxa"/>
              <w:left w:w="57" w:type="dxa"/>
              <w:bottom w:w="0" w:type="dxa"/>
              <w:right w:w="57" w:type="dxa"/>
            </w:tcMar>
            <w:vAlign w:val="center"/>
          </w:tcPr>
          <w:p w14:paraId="01205086">
            <w:pPr>
              <w:spacing w:before="20" w:after="20" w:line="300" w:lineRule="auto"/>
              <w:jc w:val="center"/>
              <w:rPr>
                <w:rFonts w:hint="eastAsia" w:ascii="宋体" w:hAnsi="宋体" w:eastAsia="宋体"/>
                <w:b/>
                <w:bCs/>
                <w:sz w:val="21"/>
                <w:szCs w:val="21"/>
              </w:rPr>
            </w:pPr>
          </w:p>
        </w:tc>
        <w:tc>
          <w:tcPr>
            <w:tcW w:w="3845" w:type="pct"/>
            <w:noWrap w:val="0"/>
            <w:tcMar>
              <w:top w:w="0" w:type="dxa"/>
              <w:left w:w="57" w:type="dxa"/>
              <w:bottom w:w="0" w:type="dxa"/>
              <w:right w:w="57" w:type="dxa"/>
            </w:tcMar>
            <w:vAlign w:val="center"/>
          </w:tcPr>
          <w:p w14:paraId="31B7CC08">
            <w:pPr>
              <w:pStyle w:val="20"/>
              <w:autoSpaceDE w:val="0"/>
              <w:autoSpaceDN w:val="0"/>
              <w:spacing w:before="20" w:after="20" w:line="300" w:lineRule="auto"/>
              <w:ind w:left="0" w:right="0" w:rightChars="0" w:firstLine="0"/>
              <w:textAlignment w:val="baseline"/>
              <w:rPr>
                <w:rFonts w:hint="eastAsia" w:cs="Times New Roman"/>
                <w:sz w:val="21"/>
                <w:szCs w:val="21"/>
              </w:rPr>
            </w:pPr>
            <w:r>
              <w:rPr>
                <w:rFonts w:cs="Times New Roman"/>
                <w:sz w:val="21"/>
                <w:szCs w:val="21"/>
              </w:rPr>
              <w:t>在禁止养殖区域内建设畜禽养殖场、养殖小区，年出栏生猪</w:t>
            </w:r>
            <w:r>
              <w:rPr>
                <w:rFonts w:hint="eastAsia" w:cs="Times New Roman"/>
                <w:sz w:val="21"/>
                <w:szCs w:val="21"/>
              </w:rPr>
              <w:t>不足</w:t>
            </w:r>
            <w:r>
              <w:rPr>
                <w:rFonts w:cs="Times New Roman"/>
                <w:sz w:val="21"/>
                <w:szCs w:val="21"/>
              </w:rPr>
              <w:t>1000头（其他畜禽种类养殖折合成猪的养殖规模）的</w:t>
            </w:r>
          </w:p>
        </w:tc>
        <w:tc>
          <w:tcPr>
            <w:tcW w:w="608" w:type="pct"/>
            <w:noWrap w:val="0"/>
            <w:tcMar>
              <w:top w:w="0" w:type="dxa"/>
              <w:left w:w="57" w:type="dxa"/>
              <w:bottom w:w="0" w:type="dxa"/>
              <w:right w:w="57" w:type="dxa"/>
            </w:tcMar>
            <w:vAlign w:val="center"/>
          </w:tcPr>
          <w:p w14:paraId="26F8CE82">
            <w:pPr>
              <w:autoSpaceDE w:val="0"/>
              <w:autoSpaceDN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2</w:t>
            </w:r>
          </w:p>
        </w:tc>
      </w:tr>
      <w:tr w14:paraId="5ACC2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547" w:type="pct"/>
            <w:vMerge w:val="continue"/>
            <w:noWrap w:val="0"/>
            <w:tcMar>
              <w:top w:w="0" w:type="dxa"/>
              <w:left w:w="57" w:type="dxa"/>
              <w:bottom w:w="0" w:type="dxa"/>
              <w:right w:w="57" w:type="dxa"/>
            </w:tcMar>
            <w:vAlign w:val="center"/>
          </w:tcPr>
          <w:p w14:paraId="7F12925B">
            <w:pPr>
              <w:spacing w:before="20" w:after="20" w:line="300" w:lineRule="auto"/>
              <w:jc w:val="center"/>
              <w:rPr>
                <w:rFonts w:hint="eastAsia" w:ascii="宋体" w:hAnsi="宋体" w:eastAsia="宋体"/>
                <w:b/>
                <w:bCs/>
                <w:sz w:val="21"/>
                <w:szCs w:val="21"/>
              </w:rPr>
            </w:pPr>
          </w:p>
        </w:tc>
        <w:tc>
          <w:tcPr>
            <w:tcW w:w="3845" w:type="pct"/>
            <w:noWrap w:val="0"/>
            <w:tcMar>
              <w:top w:w="0" w:type="dxa"/>
              <w:left w:w="57" w:type="dxa"/>
              <w:bottom w:w="0" w:type="dxa"/>
              <w:right w:w="57" w:type="dxa"/>
            </w:tcMar>
            <w:vAlign w:val="center"/>
          </w:tcPr>
          <w:p w14:paraId="125EFBD5">
            <w:pPr>
              <w:pStyle w:val="20"/>
              <w:autoSpaceDE w:val="0"/>
              <w:autoSpaceDN w:val="0"/>
              <w:spacing w:before="20" w:after="20" w:line="300" w:lineRule="auto"/>
              <w:ind w:left="0" w:right="0" w:rightChars="0" w:firstLine="0"/>
              <w:textAlignment w:val="baseline"/>
              <w:rPr>
                <w:rFonts w:hint="eastAsia" w:cs="Times New Roman"/>
                <w:sz w:val="21"/>
                <w:szCs w:val="21"/>
              </w:rPr>
            </w:pPr>
            <w:r>
              <w:rPr>
                <w:rFonts w:cs="Times New Roman"/>
                <w:sz w:val="21"/>
                <w:szCs w:val="21"/>
              </w:rPr>
              <w:t>在禁止养殖区域内建设畜禽养殖场、养殖小区，年出栏生猪1000头以上</w:t>
            </w:r>
            <w:r>
              <w:rPr>
                <w:rFonts w:hint="eastAsia" w:cs="Times New Roman"/>
                <w:sz w:val="21"/>
                <w:szCs w:val="21"/>
              </w:rPr>
              <w:t>不足</w:t>
            </w:r>
            <w:r>
              <w:rPr>
                <w:rFonts w:cs="Times New Roman"/>
                <w:sz w:val="21"/>
                <w:szCs w:val="21"/>
              </w:rPr>
              <w:t>2000头（其他畜禽种类养殖折合成猪的养殖规模）的</w:t>
            </w:r>
          </w:p>
        </w:tc>
        <w:tc>
          <w:tcPr>
            <w:tcW w:w="608" w:type="pct"/>
            <w:noWrap w:val="0"/>
            <w:tcMar>
              <w:top w:w="0" w:type="dxa"/>
              <w:left w:w="57" w:type="dxa"/>
              <w:bottom w:w="0" w:type="dxa"/>
              <w:right w:w="57" w:type="dxa"/>
            </w:tcMar>
            <w:vAlign w:val="center"/>
          </w:tcPr>
          <w:p w14:paraId="36DE6400">
            <w:pPr>
              <w:autoSpaceDE w:val="0"/>
              <w:autoSpaceDN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51B8A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547" w:type="pct"/>
            <w:vMerge w:val="continue"/>
            <w:noWrap w:val="0"/>
            <w:tcMar>
              <w:top w:w="0" w:type="dxa"/>
              <w:left w:w="57" w:type="dxa"/>
              <w:bottom w:w="0" w:type="dxa"/>
              <w:right w:w="57" w:type="dxa"/>
            </w:tcMar>
            <w:vAlign w:val="center"/>
          </w:tcPr>
          <w:p w14:paraId="00EE56CA">
            <w:pPr>
              <w:spacing w:before="20" w:after="20" w:line="300" w:lineRule="auto"/>
              <w:jc w:val="center"/>
              <w:rPr>
                <w:rFonts w:hint="eastAsia" w:ascii="宋体" w:hAnsi="宋体" w:eastAsia="宋体"/>
                <w:b/>
                <w:bCs/>
                <w:sz w:val="21"/>
                <w:szCs w:val="21"/>
              </w:rPr>
            </w:pPr>
          </w:p>
        </w:tc>
        <w:tc>
          <w:tcPr>
            <w:tcW w:w="3845" w:type="pct"/>
            <w:noWrap w:val="0"/>
            <w:tcMar>
              <w:top w:w="0" w:type="dxa"/>
              <w:left w:w="57" w:type="dxa"/>
              <w:bottom w:w="0" w:type="dxa"/>
              <w:right w:w="57" w:type="dxa"/>
            </w:tcMar>
            <w:vAlign w:val="center"/>
          </w:tcPr>
          <w:p w14:paraId="1596F70F">
            <w:pPr>
              <w:pStyle w:val="20"/>
              <w:autoSpaceDE w:val="0"/>
              <w:autoSpaceDN w:val="0"/>
              <w:spacing w:before="20" w:after="20" w:line="300" w:lineRule="auto"/>
              <w:ind w:left="0" w:right="0" w:rightChars="0" w:firstLine="0"/>
              <w:textAlignment w:val="baseline"/>
              <w:rPr>
                <w:rFonts w:hint="eastAsia" w:cs="Times New Roman"/>
                <w:sz w:val="21"/>
                <w:szCs w:val="21"/>
              </w:rPr>
            </w:pPr>
            <w:r>
              <w:rPr>
                <w:rFonts w:cs="Times New Roman"/>
                <w:sz w:val="21"/>
                <w:szCs w:val="21"/>
              </w:rPr>
              <w:t>在禁止养殖区域内建设畜禽养殖场、养殖小区，年出栏生猪2000头以上（其他畜禽种类养殖折合成猪的养殖规模）的</w:t>
            </w:r>
          </w:p>
        </w:tc>
        <w:tc>
          <w:tcPr>
            <w:tcW w:w="608" w:type="pct"/>
            <w:noWrap w:val="0"/>
            <w:tcMar>
              <w:top w:w="0" w:type="dxa"/>
              <w:left w:w="57" w:type="dxa"/>
              <w:bottom w:w="0" w:type="dxa"/>
              <w:right w:w="57" w:type="dxa"/>
            </w:tcMar>
            <w:vAlign w:val="center"/>
          </w:tcPr>
          <w:p w14:paraId="36A244D1">
            <w:pPr>
              <w:autoSpaceDE w:val="0"/>
              <w:autoSpaceDN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47EFB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547" w:type="pct"/>
            <w:vMerge w:val="restart"/>
            <w:noWrap w:val="0"/>
            <w:tcMar>
              <w:top w:w="0" w:type="dxa"/>
              <w:left w:w="57" w:type="dxa"/>
              <w:bottom w:w="0" w:type="dxa"/>
              <w:right w:w="57" w:type="dxa"/>
            </w:tcMar>
            <w:vAlign w:val="center"/>
          </w:tcPr>
          <w:p w14:paraId="183F85D9">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污染治理</w:t>
            </w:r>
          </w:p>
          <w:p w14:paraId="64276290">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措施</w:t>
            </w:r>
          </w:p>
        </w:tc>
        <w:tc>
          <w:tcPr>
            <w:tcW w:w="3845" w:type="pct"/>
            <w:noWrap w:val="0"/>
            <w:tcMar>
              <w:top w:w="0" w:type="dxa"/>
              <w:left w:w="57" w:type="dxa"/>
              <w:bottom w:w="0" w:type="dxa"/>
              <w:right w:w="57" w:type="dxa"/>
            </w:tcMar>
            <w:vAlign w:val="center"/>
          </w:tcPr>
          <w:p w14:paraId="3E33DFEB">
            <w:pPr>
              <w:pStyle w:val="20"/>
              <w:autoSpaceDE w:val="0"/>
              <w:autoSpaceDN w:val="0"/>
              <w:spacing w:before="20" w:after="20" w:line="300" w:lineRule="auto"/>
              <w:ind w:left="0" w:right="0" w:rightChars="0" w:firstLine="0"/>
              <w:textAlignment w:val="baseline"/>
              <w:rPr>
                <w:rFonts w:hint="eastAsia" w:cs="Times New Roman"/>
                <w:sz w:val="21"/>
                <w:szCs w:val="21"/>
              </w:rPr>
            </w:pPr>
            <w:r>
              <w:rPr>
                <w:rFonts w:cs="Times New Roman"/>
                <w:sz w:val="21"/>
                <w:szCs w:val="21"/>
              </w:rPr>
              <w:t>污染</w:t>
            </w:r>
            <w:r>
              <w:rPr>
                <w:rFonts w:hint="eastAsia" w:cs="Times New Roman"/>
                <w:sz w:val="21"/>
                <w:szCs w:val="21"/>
              </w:rPr>
              <w:t>治理</w:t>
            </w:r>
            <w:r>
              <w:rPr>
                <w:rFonts w:cs="Times New Roman"/>
                <w:sz w:val="21"/>
                <w:szCs w:val="21"/>
              </w:rPr>
              <w:t>设施已建成并投入使用的</w:t>
            </w:r>
          </w:p>
        </w:tc>
        <w:tc>
          <w:tcPr>
            <w:tcW w:w="608" w:type="pct"/>
            <w:noWrap w:val="0"/>
            <w:tcMar>
              <w:top w:w="0" w:type="dxa"/>
              <w:left w:w="57" w:type="dxa"/>
              <w:bottom w:w="0" w:type="dxa"/>
              <w:right w:w="57" w:type="dxa"/>
            </w:tcMar>
            <w:vAlign w:val="center"/>
          </w:tcPr>
          <w:p w14:paraId="163CA020">
            <w:pPr>
              <w:autoSpaceDE w:val="0"/>
              <w:autoSpaceDN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1</w:t>
            </w:r>
          </w:p>
        </w:tc>
      </w:tr>
      <w:tr w14:paraId="5EFF4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547" w:type="pct"/>
            <w:vMerge w:val="continue"/>
            <w:noWrap w:val="0"/>
            <w:tcMar>
              <w:top w:w="0" w:type="dxa"/>
              <w:left w:w="57" w:type="dxa"/>
              <w:bottom w:w="0" w:type="dxa"/>
              <w:right w:w="57" w:type="dxa"/>
            </w:tcMar>
            <w:vAlign w:val="center"/>
          </w:tcPr>
          <w:p w14:paraId="19D48B3F">
            <w:pPr>
              <w:spacing w:before="20" w:after="20" w:line="300" w:lineRule="auto"/>
              <w:jc w:val="center"/>
              <w:rPr>
                <w:rFonts w:hint="eastAsia" w:ascii="宋体" w:hAnsi="宋体" w:eastAsia="宋体"/>
                <w:b/>
                <w:bCs/>
                <w:sz w:val="21"/>
                <w:szCs w:val="21"/>
              </w:rPr>
            </w:pPr>
          </w:p>
        </w:tc>
        <w:tc>
          <w:tcPr>
            <w:tcW w:w="3845" w:type="pct"/>
            <w:noWrap w:val="0"/>
            <w:tcMar>
              <w:top w:w="0" w:type="dxa"/>
              <w:left w:w="57" w:type="dxa"/>
              <w:bottom w:w="0" w:type="dxa"/>
              <w:right w:w="57" w:type="dxa"/>
            </w:tcMar>
            <w:vAlign w:val="center"/>
          </w:tcPr>
          <w:p w14:paraId="2C0651FB">
            <w:pPr>
              <w:pStyle w:val="20"/>
              <w:autoSpaceDE w:val="0"/>
              <w:autoSpaceDN w:val="0"/>
              <w:spacing w:before="20" w:after="20" w:line="300" w:lineRule="auto"/>
              <w:ind w:left="0" w:right="0" w:rightChars="0" w:firstLine="0"/>
              <w:textAlignment w:val="baseline"/>
              <w:rPr>
                <w:rFonts w:hint="eastAsia" w:cs="Times New Roman"/>
                <w:sz w:val="21"/>
                <w:szCs w:val="21"/>
              </w:rPr>
            </w:pPr>
            <w:r>
              <w:rPr>
                <w:rFonts w:cs="Times New Roman"/>
                <w:sz w:val="21"/>
                <w:szCs w:val="21"/>
              </w:rPr>
              <w:t>污染</w:t>
            </w:r>
            <w:r>
              <w:rPr>
                <w:rFonts w:hint="eastAsia" w:cs="Times New Roman"/>
                <w:sz w:val="21"/>
                <w:szCs w:val="21"/>
              </w:rPr>
              <w:t>治理</w:t>
            </w:r>
            <w:r>
              <w:rPr>
                <w:rFonts w:cs="Times New Roman"/>
                <w:sz w:val="21"/>
                <w:szCs w:val="21"/>
              </w:rPr>
              <w:t>设施已建成，有</w:t>
            </w:r>
            <w:r>
              <w:rPr>
                <w:rFonts w:hint="eastAsia" w:cs="Times New Roman"/>
                <w:sz w:val="21"/>
                <w:szCs w:val="21"/>
              </w:rPr>
              <w:t>造成</w:t>
            </w:r>
            <w:r>
              <w:rPr>
                <w:rFonts w:cs="Times New Roman"/>
                <w:sz w:val="21"/>
                <w:szCs w:val="21"/>
              </w:rPr>
              <w:t>污染</w:t>
            </w:r>
            <w:r>
              <w:rPr>
                <w:rFonts w:hint="eastAsia" w:cs="Times New Roman"/>
                <w:sz w:val="21"/>
                <w:szCs w:val="21"/>
              </w:rPr>
              <w:t>的</w:t>
            </w:r>
          </w:p>
        </w:tc>
        <w:tc>
          <w:tcPr>
            <w:tcW w:w="608" w:type="pct"/>
            <w:noWrap w:val="0"/>
            <w:tcMar>
              <w:top w:w="0" w:type="dxa"/>
              <w:left w:w="57" w:type="dxa"/>
              <w:bottom w:w="0" w:type="dxa"/>
              <w:right w:w="57" w:type="dxa"/>
            </w:tcMar>
            <w:vAlign w:val="center"/>
          </w:tcPr>
          <w:p w14:paraId="6E9C880F">
            <w:pPr>
              <w:autoSpaceDE w:val="0"/>
              <w:autoSpaceDN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7162D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547" w:type="pct"/>
            <w:vMerge w:val="continue"/>
            <w:noWrap w:val="0"/>
            <w:tcMar>
              <w:top w:w="0" w:type="dxa"/>
              <w:left w:w="57" w:type="dxa"/>
              <w:bottom w:w="0" w:type="dxa"/>
              <w:right w:w="57" w:type="dxa"/>
            </w:tcMar>
            <w:vAlign w:val="center"/>
          </w:tcPr>
          <w:p w14:paraId="75CF10B8">
            <w:pPr>
              <w:spacing w:before="20" w:after="20" w:line="300" w:lineRule="auto"/>
              <w:jc w:val="center"/>
              <w:rPr>
                <w:rFonts w:hint="eastAsia" w:ascii="宋体" w:hAnsi="宋体" w:eastAsia="宋体"/>
                <w:b/>
                <w:bCs/>
                <w:sz w:val="21"/>
                <w:szCs w:val="21"/>
              </w:rPr>
            </w:pPr>
          </w:p>
        </w:tc>
        <w:tc>
          <w:tcPr>
            <w:tcW w:w="3845" w:type="pct"/>
            <w:noWrap w:val="0"/>
            <w:tcMar>
              <w:top w:w="0" w:type="dxa"/>
              <w:left w:w="57" w:type="dxa"/>
              <w:bottom w:w="0" w:type="dxa"/>
              <w:right w:w="57" w:type="dxa"/>
            </w:tcMar>
            <w:vAlign w:val="center"/>
          </w:tcPr>
          <w:p w14:paraId="174BE768">
            <w:pPr>
              <w:pStyle w:val="20"/>
              <w:autoSpaceDE w:val="0"/>
              <w:autoSpaceDN w:val="0"/>
              <w:spacing w:before="20" w:after="20" w:line="300" w:lineRule="auto"/>
              <w:ind w:left="0" w:right="0" w:rightChars="0" w:firstLine="0"/>
              <w:textAlignment w:val="baseline"/>
              <w:rPr>
                <w:rFonts w:hint="eastAsia" w:cs="Times New Roman"/>
                <w:sz w:val="21"/>
                <w:szCs w:val="21"/>
              </w:rPr>
            </w:pPr>
            <w:r>
              <w:rPr>
                <w:rFonts w:cs="Times New Roman"/>
                <w:sz w:val="21"/>
                <w:szCs w:val="21"/>
              </w:rPr>
              <w:t>未建设污染</w:t>
            </w:r>
            <w:r>
              <w:rPr>
                <w:rFonts w:hint="eastAsia" w:cs="Times New Roman"/>
                <w:sz w:val="21"/>
                <w:szCs w:val="21"/>
              </w:rPr>
              <w:t>治理</w:t>
            </w:r>
            <w:r>
              <w:rPr>
                <w:rFonts w:cs="Times New Roman"/>
                <w:sz w:val="21"/>
                <w:szCs w:val="21"/>
              </w:rPr>
              <w:t>设施，造成污染</w:t>
            </w:r>
            <w:r>
              <w:rPr>
                <w:rFonts w:hint="eastAsia" w:cs="Times New Roman"/>
                <w:sz w:val="21"/>
                <w:szCs w:val="21"/>
              </w:rPr>
              <w:t>的</w:t>
            </w:r>
          </w:p>
        </w:tc>
        <w:tc>
          <w:tcPr>
            <w:tcW w:w="608" w:type="pct"/>
            <w:noWrap w:val="0"/>
            <w:tcMar>
              <w:top w:w="0" w:type="dxa"/>
              <w:left w:w="57" w:type="dxa"/>
              <w:bottom w:w="0" w:type="dxa"/>
              <w:right w:w="57" w:type="dxa"/>
            </w:tcMar>
            <w:vAlign w:val="center"/>
          </w:tcPr>
          <w:p w14:paraId="2517AEB9">
            <w:pPr>
              <w:autoSpaceDE w:val="0"/>
              <w:autoSpaceDN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4A6AD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547" w:type="pct"/>
            <w:vMerge w:val="restart"/>
            <w:noWrap w:val="0"/>
            <w:tcMar>
              <w:top w:w="0" w:type="dxa"/>
              <w:left w:w="57" w:type="dxa"/>
              <w:bottom w:w="0" w:type="dxa"/>
              <w:right w:w="57" w:type="dxa"/>
            </w:tcMar>
            <w:vAlign w:val="center"/>
          </w:tcPr>
          <w:p w14:paraId="08448784">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项目</w:t>
            </w:r>
            <w:r>
              <w:rPr>
                <w:rFonts w:ascii="宋体" w:hAnsi="宋体" w:eastAsia="宋体"/>
                <w:b/>
                <w:bCs/>
                <w:sz w:val="21"/>
                <w:szCs w:val="21"/>
              </w:rPr>
              <w:t>地点</w:t>
            </w:r>
          </w:p>
        </w:tc>
        <w:tc>
          <w:tcPr>
            <w:tcW w:w="3845" w:type="pct"/>
            <w:noWrap w:val="0"/>
            <w:tcMar>
              <w:top w:w="0" w:type="dxa"/>
              <w:left w:w="57" w:type="dxa"/>
              <w:bottom w:w="0" w:type="dxa"/>
              <w:right w:w="57" w:type="dxa"/>
            </w:tcMar>
            <w:vAlign w:val="center"/>
          </w:tcPr>
          <w:p w14:paraId="6B2063A2">
            <w:pPr>
              <w:pStyle w:val="20"/>
              <w:autoSpaceDE w:val="0"/>
              <w:autoSpaceDN w:val="0"/>
              <w:spacing w:before="20" w:after="20" w:line="300" w:lineRule="auto"/>
              <w:ind w:left="0" w:right="0" w:rightChars="0" w:firstLine="0"/>
              <w:textAlignment w:val="baseline"/>
              <w:rPr>
                <w:rFonts w:hint="eastAsia" w:cs="Times New Roman"/>
                <w:sz w:val="21"/>
                <w:szCs w:val="21"/>
              </w:rPr>
            </w:pPr>
            <w:r>
              <w:rPr>
                <w:rFonts w:cs="Times New Roman"/>
                <w:sz w:val="21"/>
                <w:szCs w:val="21"/>
              </w:rPr>
              <w:t>城镇居民区</w:t>
            </w:r>
            <w:r>
              <w:rPr>
                <w:rFonts w:hint="eastAsia" w:cs="Times New Roman"/>
                <w:sz w:val="21"/>
                <w:szCs w:val="21"/>
              </w:rPr>
              <w:t>和</w:t>
            </w:r>
            <w:r>
              <w:rPr>
                <w:rFonts w:cs="Times New Roman"/>
                <w:sz w:val="21"/>
                <w:szCs w:val="21"/>
              </w:rPr>
              <w:t>文化教育科学研究区</w:t>
            </w:r>
            <w:r>
              <w:rPr>
                <w:rFonts w:hint="eastAsia" w:cs="Times New Roman"/>
                <w:sz w:val="21"/>
                <w:szCs w:val="21"/>
              </w:rPr>
              <w:t>、依照法律法规应当划定的区域</w:t>
            </w:r>
          </w:p>
        </w:tc>
        <w:tc>
          <w:tcPr>
            <w:tcW w:w="608" w:type="pct"/>
            <w:noWrap w:val="0"/>
            <w:tcMar>
              <w:top w:w="0" w:type="dxa"/>
              <w:left w:w="57" w:type="dxa"/>
              <w:bottom w:w="0" w:type="dxa"/>
              <w:right w:w="57" w:type="dxa"/>
            </w:tcMar>
            <w:vAlign w:val="center"/>
          </w:tcPr>
          <w:p w14:paraId="525F3FBC">
            <w:pPr>
              <w:autoSpaceDE w:val="0"/>
              <w:autoSpaceDN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2</w:t>
            </w:r>
          </w:p>
        </w:tc>
      </w:tr>
      <w:tr w14:paraId="18E70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547" w:type="pct"/>
            <w:vMerge w:val="continue"/>
            <w:noWrap w:val="0"/>
            <w:tcMar>
              <w:top w:w="0" w:type="dxa"/>
              <w:left w:w="57" w:type="dxa"/>
              <w:bottom w:w="0" w:type="dxa"/>
              <w:right w:w="57" w:type="dxa"/>
            </w:tcMar>
            <w:vAlign w:val="center"/>
          </w:tcPr>
          <w:p w14:paraId="67FB4257">
            <w:pPr>
              <w:autoSpaceDE w:val="0"/>
              <w:autoSpaceDN w:val="0"/>
              <w:spacing w:before="20" w:after="20" w:line="300" w:lineRule="auto"/>
              <w:jc w:val="center"/>
              <w:textAlignment w:val="baseline"/>
              <w:rPr>
                <w:rFonts w:hint="eastAsia" w:ascii="宋体" w:hAnsi="宋体" w:eastAsia="宋体"/>
                <w:spacing w:val="7"/>
                <w:sz w:val="21"/>
                <w:szCs w:val="21"/>
              </w:rPr>
            </w:pPr>
          </w:p>
        </w:tc>
        <w:tc>
          <w:tcPr>
            <w:tcW w:w="3845" w:type="pct"/>
            <w:noWrap w:val="0"/>
            <w:tcMar>
              <w:top w:w="0" w:type="dxa"/>
              <w:left w:w="57" w:type="dxa"/>
              <w:bottom w:w="0" w:type="dxa"/>
              <w:right w:w="57" w:type="dxa"/>
            </w:tcMar>
            <w:vAlign w:val="center"/>
          </w:tcPr>
          <w:p w14:paraId="424B9506">
            <w:pPr>
              <w:pStyle w:val="20"/>
              <w:autoSpaceDE w:val="0"/>
              <w:autoSpaceDN w:val="0"/>
              <w:spacing w:before="20" w:after="20" w:line="300" w:lineRule="auto"/>
              <w:ind w:left="0" w:right="0" w:rightChars="0" w:firstLine="0"/>
              <w:textAlignment w:val="baseline"/>
              <w:rPr>
                <w:rFonts w:hint="eastAsia" w:cs="Times New Roman"/>
                <w:sz w:val="21"/>
                <w:szCs w:val="21"/>
              </w:rPr>
            </w:pPr>
            <w:r>
              <w:rPr>
                <w:rFonts w:cs="Times New Roman"/>
                <w:sz w:val="21"/>
                <w:szCs w:val="21"/>
              </w:rPr>
              <w:t>自然保护区缓冲区</w:t>
            </w:r>
            <w:r>
              <w:rPr>
                <w:rFonts w:hint="eastAsia" w:cs="Times New Roman"/>
                <w:sz w:val="21"/>
                <w:szCs w:val="21"/>
              </w:rPr>
              <w:t>、</w:t>
            </w:r>
            <w:r>
              <w:rPr>
                <w:rFonts w:cs="Times New Roman"/>
                <w:sz w:val="21"/>
                <w:szCs w:val="21"/>
              </w:rPr>
              <w:t>饮用水水源</w:t>
            </w:r>
            <w:r>
              <w:rPr>
                <w:rFonts w:hint="eastAsia" w:cs="Times New Roman"/>
                <w:sz w:val="21"/>
                <w:szCs w:val="21"/>
              </w:rPr>
              <w:t>二级保护区、滇池</w:t>
            </w:r>
            <w:r>
              <w:rPr>
                <w:sz w:val="21"/>
                <w:szCs w:val="21"/>
              </w:rPr>
              <w:t>生态保护缓冲区</w:t>
            </w:r>
          </w:p>
        </w:tc>
        <w:tc>
          <w:tcPr>
            <w:tcW w:w="608" w:type="pct"/>
            <w:noWrap w:val="0"/>
            <w:tcMar>
              <w:top w:w="0" w:type="dxa"/>
              <w:left w:w="57" w:type="dxa"/>
              <w:bottom w:w="0" w:type="dxa"/>
              <w:right w:w="57" w:type="dxa"/>
            </w:tcMar>
            <w:vAlign w:val="center"/>
          </w:tcPr>
          <w:p w14:paraId="30C85B26">
            <w:pPr>
              <w:autoSpaceDE w:val="0"/>
              <w:autoSpaceDN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3</w:t>
            </w:r>
          </w:p>
        </w:tc>
      </w:tr>
      <w:tr w14:paraId="53ACF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547" w:type="pct"/>
            <w:vMerge w:val="continue"/>
            <w:noWrap w:val="0"/>
            <w:tcMar>
              <w:top w:w="0" w:type="dxa"/>
              <w:left w:w="57" w:type="dxa"/>
              <w:bottom w:w="0" w:type="dxa"/>
              <w:right w:w="57" w:type="dxa"/>
            </w:tcMar>
            <w:vAlign w:val="center"/>
          </w:tcPr>
          <w:p w14:paraId="18B13221">
            <w:pPr>
              <w:autoSpaceDE w:val="0"/>
              <w:autoSpaceDN w:val="0"/>
              <w:spacing w:before="20" w:after="20" w:line="300" w:lineRule="auto"/>
              <w:jc w:val="center"/>
              <w:textAlignment w:val="baseline"/>
              <w:rPr>
                <w:rFonts w:hint="eastAsia" w:ascii="宋体" w:hAnsi="宋体" w:eastAsia="宋体"/>
                <w:spacing w:val="7"/>
                <w:sz w:val="21"/>
                <w:szCs w:val="21"/>
              </w:rPr>
            </w:pPr>
          </w:p>
        </w:tc>
        <w:tc>
          <w:tcPr>
            <w:tcW w:w="3845" w:type="pct"/>
            <w:noWrap w:val="0"/>
            <w:tcMar>
              <w:top w:w="0" w:type="dxa"/>
              <w:left w:w="57" w:type="dxa"/>
              <w:bottom w:w="0" w:type="dxa"/>
              <w:right w:w="57" w:type="dxa"/>
            </w:tcMar>
            <w:vAlign w:val="center"/>
          </w:tcPr>
          <w:p w14:paraId="6D4AF8C3">
            <w:pPr>
              <w:pStyle w:val="20"/>
              <w:autoSpaceDE w:val="0"/>
              <w:autoSpaceDN w:val="0"/>
              <w:spacing w:before="20" w:after="20" w:line="300" w:lineRule="auto"/>
              <w:ind w:left="0" w:right="0" w:rightChars="0" w:firstLine="0"/>
              <w:textAlignment w:val="baseline"/>
              <w:rPr>
                <w:rFonts w:hint="eastAsia" w:cs="Times New Roman"/>
                <w:sz w:val="21"/>
                <w:szCs w:val="21"/>
              </w:rPr>
            </w:pPr>
            <w:r>
              <w:rPr>
                <w:rFonts w:cs="Times New Roman"/>
                <w:sz w:val="21"/>
                <w:szCs w:val="21"/>
              </w:rPr>
              <w:t>自然保护区核心区</w:t>
            </w:r>
            <w:r>
              <w:rPr>
                <w:rFonts w:hint="eastAsia" w:cs="Times New Roman"/>
                <w:sz w:val="21"/>
                <w:szCs w:val="21"/>
              </w:rPr>
              <w:t>、</w:t>
            </w:r>
            <w:r>
              <w:rPr>
                <w:rFonts w:cs="Times New Roman"/>
                <w:sz w:val="21"/>
                <w:szCs w:val="21"/>
              </w:rPr>
              <w:t>饮用水水源</w:t>
            </w:r>
            <w:r>
              <w:rPr>
                <w:rFonts w:hint="eastAsia" w:cs="Times New Roman"/>
                <w:sz w:val="21"/>
                <w:szCs w:val="21"/>
              </w:rPr>
              <w:t>一级保护区</w:t>
            </w:r>
            <w:r>
              <w:rPr>
                <w:rFonts w:cs="Times New Roman"/>
                <w:sz w:val="21"/>
                <w:szCs w:val="21"/>
              </w:rPr>
              <w:t>、风景名胜区</w:t>
            </w:r>
          </w:p>
        </w:tc>
        <w:tc>
          <w:tcPr>
            <w:tcW w:w="608" w:type="pct"/>
            <w:noWrap w:val="0"/>
            <w:tcMar>
              <w:top w:w="0" w:type="dxa"/>
              <w:left w:w="57" w:type="dxa"/>
              <w:bottom w:w="0" w:type="dxa"/>
              <w:right w:w="57" w:type="dxa"/>
            </w:tcMar>
            <w:vAlign w:val="center"/>
          </w:tcPr>
          <w:p w14:paraId="32606221">
            <w:pPr>
              <w:autoSpaceDE w:val="0"/>
              <w:autoSpaceDN w:val="0"/>
              <w:spacing w:before="20" w:after="20" w:line="300" w:lineRule="auto"/>
              <w:jc w:val="center"/>
              <w:textAlignment w:val="baseline"/>
              <w:rPr>
                <w:rFonts w:hint="eastAsia" w:ascii="宋体" w:hAnsi="宋体" w:eastAsia="宋体"/>
                <w:sz w:val="21"/>
                <w:szCs w:val="21"/>
              </w:rPr>
            </w:pPr>
            <w:r>
              <w:rPr>
                <w:rFonts w:ascii="宋体" w:hAnsi="宋体" w:eastAsia="宋体"/>
                <w:sz w:val="21"/>
                <w:szCs w:val="21"/>
              </w:rPr>
              <w:t>5</w:t>
            </w:r>
          </w:p>
        </w:tc>
      </w:tr>
      <w:tr w14:paraId="5308F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547" w:type="pct"/>
            <w:noWrap w:val="0"/>
            <w:tcMar>
              <w:top w:w="0" w:type="dxa"/>
              <w:left w:w="57" w:type="dxa"/>
              <w:bottom w:w="0" w:type="dxa"/>
              <w:right w:w="57" w:type="dxa"/>
            </w:tcMar>
            <w:vAlign w:val="center"/>
          </w:tcPr>
          <w:p w14:paraId="1F2E23AE">
            <w:pPr>
              <w:autoSpaceDE w:val="0"/>
              <w:autoSpaceDN w:val="0"/>
              <w:spacing w:before="20" w:after="20" w:line="300" w:lineRule="auto"/>
              <w:jc w:val="center"/>
              <w:textAlignment w:val="baseline"/>
              <w:rPr>
                <w:rFonts w:hint="eastAsia" w:ascii="宋体" w:hAnsi="宋体" w:eastAsia="宋体"/>
                <w:b/>
                <w:bCs/>
                <w:spacing w:val="7"/>
                <w:sz w:val="21"/>
                <w:szCs w:val="21"/>
              </w:rPr>
            </w:pPr>
            <w:r>
              <w:rPr>
                <w:rFonts w:hint="eastAsia" w:ascii="宋体" w:hAnsi="宋体" w:eastAsia="宋体"/>
                <w:b/>
                <w:bCs/>
                <w:spacing w:val="7"/>
                <w:sz w:val="21"/>
                <w:szCs w:val="21"/>
              </w:rPr>
              <w:t>备注</w:t>
            </w:r>
          </w:p>
        </w:tc>
        <w:tc>
          <w:tcPr>
            <w:tcW w:w="4453" w:type="pct"/>
            <w:gridSpan w:val="2"/>
            <w:noWrap w:val="0"/>
            <w:tcMar>
              <w:top w:w="0" w:type="dxa"/>
              <w:left w:w="57" w:type="dxa"/>
              <w:bottom w:w="0" w:type="dxa"/>
              <w:right w:w="57" w:type="dxa"/>
            </w:tcMar>
            <w:vAlign w:val="center"/>
          </w:tcPr>
          <w:p w14:paraId="3EA051E9">
            <w:pPr>
              <w:autoSpaceDE w:val="0"/>
              <w:autoSpaceDN w:val="0"/>
              <w:spacing w:before="20" w:after="20" w:line="300" w:lineRule="auto"/>
              <w:textAlignment w:val="baseline"/>
              <w:rPr>
                <w:rFonts w:hint="eastAsia" w:ascii="宋体" w:hAnsi="宋体" w:eastAsia="宋体"/>
                <w:sz w:val="21"/>
                <w:szCs w:val="21"/>
              </w:rPr>
            </w:pPr>
            <w:r>
              <w:rPr>
                <w:rFonts w:ascii="宋体" w:hAnsi="宋体" w:eastAsia="宋体"/>
                <w:sz w:val="21"/>
                <w:szCs w:val="21"/>
              </w:rPr>
              <w:t>畜禽规模养殖标准按照云南省人民政府确定并公布的规模标准认定。</w:t>
            </w:r>
          </w:p>
        </w:tc>
      </w:tr>
    </w:tbl>
    <w:p w14:paraId="133FA2A2">
      <w:pPr>
        <w:spacing w:before="40" w:after="40" w:line="400" w:lineRule="auto"/>
        <w:jc w:val="both"/>
        <w:rPr>
          <w:rFonts w:hint="eastAsia" w:ascii="Times New Roman" w:hAnsi="Times New Roman" w:eastAsia="黑体"/>
          <w:b/>
          <w:sz w:val="24"/>
          <w:lang w:eastAsia="zh-CN"/>
        </w:rPr>
      </w:pPr>
      <w:r>
        <w:rPr>
          <w:rFonts w:hint="eastAsia" w:ascii="Times New Roman" w:hAnsi="Times New Roman" w:eastAsia="黑体"/>
          <w:b/>
          <w:bCs/>
          <w:sz w:val="24"/>
        </w:rPr>
        <w:t>4.</w:t>
      </w:r>
      <w:r>
        <w:rPr>
          <w:rFonts w:ascii="Times New Roman" w:hAnsi="Times New Roman" w:eastAsia="黑体"/>
          <w:b/>
          <w:bCs/>
          <w:sz w:val="24"/>
        </w:rPr>
        <w:t>无</w:t>
      </w:r>
      <w:r>
        <w:rPr>
          <w:rFonts w:ascii="Times New Roman" w:hAnsi="Times New Roman" w:eastAsia="黑体"/>
          <w:b/>
          <w:sz w:val="24"/>
        </w:rPr>
        <w:t>生产配额许可证生产消耗臭氧层物质的行为</w:t>
      </w:r>
      <w:r>
        <w:rPr>
          <w:rFonts w:hint="eastAsia" w:ascii="Times New Roman" w:hAnsi="Times New Roman" w:eastAsia="黑体"/>
          <w:b/>
          <w:sz w:val="24"/>
          <w:lang w:eastAsia="zh-CN"/>
        </w:rPr>
        <w:t>（新增）</w:t>
      </w:r>
    </w:p>
    <w:tbl>
      <w:tblPr>
        <w:tblStyle w:val="8"/>
        <w:tblW w:w="89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88"/>
        <w:gridCol w:w="6945"/>
        <w:gridCol w:w="1015"/>
      </w:tblGrid>
      <w:tr w14:paraId="5A72A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noWrap w:val="0"/>
            <w:vAlign w:val="center"/>
          </w:tcPr>
          <w:p w14:paraId="6749C632">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违反条款</w:t>
            </w:r>
          </w:p>
        </w:tc>
        <w:tc>
          <w:tcPr>
            <w:tcW w:w="7960" w:type="dxa"/>
            <w:gridSpan w:val="2"/>
            <w:noWrap w:val="0"/>
            <w:vAlign w:val="center"/>
          </w:tcPr>
          <w:p w14:paraId="2CD3A634">
            <w:pPr>
              <w:spacing w:before="20" w:after="20" w:line="300" w:lineRule="auto"/>
              <w:rPr>
                <w:rFonts w:hint="eastAsia" w:ascii="宋体" w:hAnsi="宋体" w:eastAsia="宋体"/>
                <w:b/>
                <w:bCs/>
                <w:sz w:val="21"/>
                <w:szCs w:val="21"/>
              </w:rPr>
            </w:pPr>
            <w:r>
              <w:rPr>
                <w:rFonts w:ascii="宋体" w:hAnsi="宋体" w:eastAsia="宋体"/>
                <w:b/>
                <w:bCs/>
                <w:kern w:val="0"/>
                <w:sz w:val="21"/>
                <w:szCs w:val="21"/>
              </w:rPr>
              <w:t>《消耗臭氧层物质管理条例》（2026修订版）第十五条第二款</w:t>
            </w:r>
            <w:r>
              <w:rPr>
                <w:rFonts w:hint="eastAsia" w:ascii="宋体" w:hAnsi="宋体" w:eastAsia="宋体"/>
                <w:b/>
                <w:bCs/>
                <w:kern w:val="0"/>
                <w:sz w:val="21"/>
                <w:szCs w:val="21"/>
              </w:rPr>
              <w:t xml:space="preserve"> </w:t>
            </w:r>
            <w:r>
              <w:rPr>
                <w:rFonts w:ascii="宋体" w:hAnsi="宋体" w:eastAsia="宋体"/>
                <w:b/>
                <w:bCs/>
                <w:kern w:val="0"/>
                <w:sz w:val="21"/>
                <w:szCs w:val="21"/>
              </w:rPr>
              <w:t>禁止无生产配额许可证生产消耗臭氧层物质。</w:t>
            </w:r>
          </w:p>
        </w:tc>
      </w:tr>
      <w:tr w14:paraId="5FD82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noWrap w:val="0"/>
            <w:vAlign w:val="center"/>
          </w:tcPr>
          <w:p w14:paraId="65580D9E">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处罚依据</w:t>
            </w:r>
          </w:p>
        </w:tc>
        <w:tc>
          <w:tcPr>
            <w:tcW w:w="7960" w:type="dxa"/>
            <w:gridSpan w:val="2"/>
            <w:noWrap w:val="0"/>
            <w:vAlign w:val="center"/>
          </w:tcPr>
          <w:p w14:paraId="02EDAB36">
            <w:pPr>
              <w:spacing w:before="20" w:after="20" w:line="300" w:lineRule="auto"/>
              <w:rPr>
                <w:rFonts w:hint="eastAsia" w:ascii="宋体" w:hAnsi="宋体" w:eastAsia="宋体"/>
                <w:b/>
                <w:bCs/>
                <w:sz w:val="21"/>
                <w:szCs w:val="21"/>
              </w:rPr>
            </w:pPr>
            <w:r>
              <w:rPr>
                <w:rFonts w:ascii="宋体" w:hAnsi="宋体" w:eastAsia="宋体"/>
                <w:b/>
                <w:bCs/>
                <w:kern w:val="0"/>
                <w:sz w:val="21"/>
                <w:szCs w:val="21"/>
              </w:rPr>
              <w:t>《消耗臭氧层物质管理条例》（2026修订版）第三十条</w:t>
            </w:r>
            <w:r>
              <w:rPr>
                <w:rFonts w:hint="eastAsia" w:ascii="宋体" w:hAnsi="宋体" w:eastAsia="宋体"/>
                <w:b/>
                <w:bCs/>
                <w:kern w:val="0"/>
                <w:sz w:val="21"/>
                <w:szCs w:val="21"/>
              </w:rPr>
              <w:t xml:space="preserve"> </w:t>
            </w:r>
            <w:r>
              <w:rPr>
                <w:rFonts w:ascii="宋体" w:hAnsi="宋体" w:eastAsia="宋体"/>
                <w:b/>
                <w:bCs/>
                <w:kern w:val="0"/>
                <w:sz w:val="21"/>
                <w:szCs w:val="21"/>
              </w:rPr>
              <w:t>无生产配额许可证生产消耗臭氧层物质的，由所在地生态环境主管部门责令停止违法行为，没收用于违法生产消耗臭氧层物质的原料、违法生产的消耗臭氧层物质和违法所得，拆除、销毁用于违法生产消耗臭氧层物质的设备、设施，并处100万元以上500万元以下的罚款。</w:t>
            </w:r>
          </w:p>
        </w:tc>
      </w:tr>
      <w:tr w14:paraId="26457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noWrap w:val="0"/>
            <w:vAlign w:val="center"/>
          </w:tcPr>
          <w:p w14:paraId="2FA9AE55">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裁量因素</w:t>
            </w:r>
          </w:p>
        </w:tc>
        <w:tc>
          <w:tcPr>
            <w:tcW w:w="6945" w:type="dxa"/>
            <w:noWrap w:val="0"/>
            <w:vAlign w:val="center"/>
          </w:tcPr>
          <w:p w14:paraId="32F6B235">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裁量因子</w:t>
            </w:r>
          </w:p>
        </w:tc>
        <w:tc>
          <w:tcPr>
            <w:tcW w:w="1015" w:type="dxa"/>
            <w:noWrap w:val="0"/>
            <w:vAlign w:val="center"/>
          </w:tcPr>
          <w:p w14:paraId="31035637">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裁量等级</w:t>
            </w:r>
          </w:p>
        </w:tc>
      </w:tr>
      <w:tr w14:paraId="193AF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restart"/>
            <w:noWrap w:val="0"/>
            <w:vAlign w:val="center"/>
          </w:tcPr>
          <w:p w14:paraId="419E2D57">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消耗臭氧层物质种类</w:t>
            </w:r>
          </w:p>
        </w:tc>
        <w:tc>
          <w:tcPr>
            <w:tcW w:w="6945" w:type="dxa"/>
            <w:noWrap w:val="0"/>
            <w:vAlign w:val="center"/>
          </w:tcPr>
          <w:p w14:paraId="6352E5AA">
            <w:pPr>
              <w:spacing w:before="20" w:after="20" w:line="300" w:lineRule="auto"/>
              <w:rPr>
                <w:rFonts w:hint="eastAsia" w:ascii="宋体" w:hAnsi="宋体" w:eastAsia="宋体"/>
                <w:b/>
                <w:bCs/>
                <w:sz w:val="21"/>
                <w:szCs w:val="21"/>
              </w:rPr>
            </w:pPr>
            <w:r>
              <w:rPr>
                <w:rFonts w:ascii="宋体" w:hAnsi="宋体" w:eastAsia="宋体"/>
                <w:b/>
                <w:bCs/>
                <w:sz w:val="21"/>
                <w:szCs w:val="21"/>
              </w:rPr>
              <w:t>允许使用类物质</w:t>
            </w:r>
          </w:p>
        </w:tc>
        <w:tc>
          <w:tcPr>
            <w:tcW w:w="1015" w:type="dxa"/>
            <w:noWrap w:val="0"/>
            <w:vAlign w:val="center"/>
          </w:tcPr>
          <w:p w14:paraId="7DDE6A87">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1</w:t>
            </w:r>
          </w:p>
        </w:tc>
      </w:tr>
      <w:tr w14:paraId="5A3BC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223B53B6">
            <w:pPr>
              <w:spacing w:before="20" w:after="20" w:line="300" w:lineRule="auto"/>
              <w:jc w:val="center"/>
              <w:rPr>
                <w:rFonts w:hint="eastAsia" w:ascii="宋体" w:hAnsi="宋体" w:eastAsia="宋体"/>
                <w:b/>
                <w:bCs/>
                <w:sz w:val="21"/>
                <w:szCs w:val="21"/>
              </w:rPr>
            </w:pPr>
          </w:p>
        </w:tc>
        <w:tc>
          <w:tcPr>
            <w:tcW w:w="6945" w:type="dxa"/>
            <w:noWrap w:val="0"/>
            <w:vAlign w:val="center"/>
          </w:tcPr>
          <w:p w14:paraId="5DE93701">
            <w:pPr>
              <w:spacing w:before="20" w:after="20" w:line="300" w:lineRule="auto"/>
              <w:rPr>
                <w:rFonts w:hint="eastAsia" w:ascii="宋体" w:hAnsi="宋体" w:eastAsia="宋体"/>
                <w:b/>
                <w:bCs/>
                <w:sz w:val="21"/>
                <w:szCs w:val="21"/>
              </w:rPr>
            </w:pPr>
            <w:r>
              <w:rPr>
                <w:rFonts w:ascii="宋体" w:hAnsi="宋体" w:eastAsia="宋体"/>
                <w:b/>
                <w:bCs/>
                <w:sz w:val="21"/>
                <w:szCs w:val="21"/>
              </w:rPr>
              <w:t>过度性使用类物质</w:t>
            </w:r>
          </w:p>
        </w:tc>
        <w:tc>
          <w:tcPr>
            <w:tcW w:w="1015" w:type="dxa"/>
            <w:noWrap w:val="0"/>
            <w:vAlign w:val="center"/>
          </w:tcPr>
          <w:p w14:paraId="7AB5850E">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3</w:t>
            </w:r>
          </w:p>
        </w:tc>
      </w:tr>
      <w:tr w14:paraId="73D31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4815F5EE">
            <w:pPr>
              <w:spacing w:before="20" w:after="20" w:line="300" w:lineRule="auto"/>
              <w:jc w:val="center"/>
              <w:rPr>
                <w:rFonts w:hint="eastAsia" w:ascii="宋体" w:hAnsi="宋体" w:eastAsia="宋体"/>
                <w:b/>
                <w:bCs/>
                <w:sz w:val="21"/>
                <w:szCs w:val="21"/>
              </w:rPr>
            </w:pPr>
          </w:p>
        </w:tc>
        <w:tc>
          <w:tcPr>
            <w:tcW w:w="6945" w:type="dxa"/>
            <w:noWrap w:val="0"/>
            <w:vAlign w:val="center"/>
          </w:tcPr>
          <w:p w14:paraId="2FF3B408">
            <w:pPr>
              <w:spacing w:before="20" w:after="20" w:line="300" w:lineRule="auto"/>
              <w:rPr>
                <w:rFonts w:hint="eastAsia" w:ascii="宋体" w:hAnsi="宋体" w:eastAsia="宋体"/>
                <w:b/>
                <w:bCs/>
                <w:sz w:val="21"/>
                <w:szCs w:val="21"/>
              </w:rPr>
            </w:pPr>
            <w:r>
              <w:rPr>
                <w:rFonts w:ascii="宋体" w:hAnsi="宋体" w:eastAsia="宋体"/>
                <w:b/>
                <w:bCs/>
                <w:sz w:val="21"/>
                <w:szCs w:val="21"/>
              </w:rPr>
              <w:t>禁止使用类物质</w:t>
            </w:r>
          </w:p>
        </w:tc>
        <w:tc>
          <w:tcPr>
            <w:tcW w:w="1015" w:type="dxa"/>
            <w:noWrap w:val="0"/>
            <w:vAlign w:val="center"/>
          </w:tcPr>
          <w:p w14:paraId="4B70C35A">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5</w:t>
            </w:r>
          </w:p>
        </w:tc>
      </w:tr>
      <w:tr w14:paraId="34063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restart"/>
            <w:noWrap w:val="0"/>
            <w:vAlign w:val="center"/>
          </w:tcPr>
          <w:p w14:paraId="20C5E37A">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违法生产数量</w:t>
            </w:r>
          </w:p>
        </w:tc>
        <w:tc>
          <w:tcPr>
            <w:tcW w:w="6945" w:type="dxa"/>
            <w:noWrap w:val="0"/>
            <w:vAlign w:val="center"/>
          </w:tcPr>
          <w:p w14:paraId="509C96CF">
            <w:pPr>
              <w:spacing w:before="20" w:after="20" w:line="300" w:lineRule="auto"/>
              <w:rPr>
                <w:rFonts w:hint="eastAsia" w:ascii="宋体" w:hAnsi="宋体" w:eastAsia="宋体"/>
                <w:b/>
                <w:bCs/>
                <w:sz w:val="21"/>
                <w:szCs w:val="21"/>
              </w:rPr>
            </w:pPr>
            <w:r>
              <w:rPr>
                <w:rFonts w:ascii="宋体" w:hAnsi="宋体" w:eastAsia="宋体"/>
                <w:b/>
                <w:bCs/>
                <w:sz w:val="21"/>
                <w:szCs w:val="21"/>
              </w:rPr>
              <w:t>不足10吨</w:t>
            </w:r>
          </w:p>
        </w:tc>
        <w:tc>
          <w:tcPr>
            <w:tcW w:w="1015" w:type="dxa"/>
            <w:noWrap w:val="0"/>
            <w:vAlign w:val="center"/>
          </w:tcPr>
          <w:p w14:paraId="51AA5981">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1</w:t>
            </w:r>
          </w:p>
        </w:tc>
      </w:tr>
      <w:tr w14:paraId="02EF9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5015AD70">
            <w:pPr>
              <w:spacing w:before="20" w:after="20" w:line="300" w:lineRule="auto"/>
              <w:jc w:val="center"/>
              <w:rPr>
                <w:rFonts w:hint="eastAsia" w:ascii="宋体" w:hAnsi="宋体" w:eastAsia="宋体"/>
                <w:b/>
                <w:bCs/>
                <w:sz w:val="21"/>
                <w:szCs w:val="21"/>
              </w:rPr>
            </w:pPr>
          </w:p>
        </w:tc>
        <w:tc>
          <w:tcPr>
            <w:tcW w:w="6945" w:type="dxa"/>
            <w:noWrap w:val="0"/>
            <w:vAlign w:val="center"/>
          </w:tcPr>
          <w:p w14:paraId="67D53B20">
            <w:pPr>
              <w:spacing w:before="20" w:after="20" w:line="300" w:lineRule="auto"/>
              <w:rPr>
                <w:rFonts w:hint="eastAsia" w:ascii="宋体" w:hAnsi="宋体" w:eastAsia="宋体"/>
                <w:b/>
                <w:bCs/>
                <w:sz w:val="21"/>
                <w:szCs w:val="21"/>
              </w:rPr>
            </w:pPr>
            <w:r>
              <w:rPr>
                <w:rFonts w:ascii="宋体" w:hAnsi="宋体" w:eastAsia="宋体"/>
                <w:b/>
                <w:bCs/>
                <w:sz w:val="21"/>
                <w:szCs w:val="21"/>
              </w:rPr>
              <w:t>10吨以上不足100吨</w:t>
            </w:r>
          </w:p>
        </w:tc>
        <w:tc>
          <w:tcPr>
            <w:tcW w:w="1015" w:type="dxa"/>
            <w:noWrap w:val="0"/>
            <w:vAlign w:val="center"/>
          </w:tcPr>
          <w:p w14:paraId="398A237E">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3</w:t>
            </w:r>
          </w:p>
        </w:tc>
      </w:tr>
      <w:tr w14:paraId="65875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3351F142">
            <w:pPr>
              <w:spacing w:before="20" w:after="20" w:line="300" w:lineRule="auto"/>
              <w:jc w:val="center"/>
              <w:rPr>
                <w:rFonts w:hint="eastAsia" w:ascii="宋体" w:hAnsi="宋体" w:eastAsia="宋体"/>
                <w:b/>
                <w:bCs/>
                <w:sz w:val="21"/>
                <w:szCs w:val="21"/>
              </w:rPr>
            </w:pPr>
          </w:p>
        </w:tc>
        <w:tc>
          <w:tcPr>
            <w:tcW w:w="6945" w:type="dxa"/>
            <w:noWrap w:val="0"/>
            <w:vAlign w:val="center"/>
          </w:tcPr>
          <w:p w14:paraId="4DCA3D07">
            <w:pPr>
              <w:spacing w:before="20" w:after="20" w:line="300" w:lineRule="auto"/>
              <w:rPr>
                <w:rFonts w:hint="eastAsia" w:ascii="宋体" w:hAnsi="宋体" w:eastAsia="宋体"/>
                <w:b/>
                <w:bCs/>
                <w:sz w:val="21"/>
                <w:szCs w:val="21"/>
              </w:rPr>
            </w:pPr>
            <w:r>
              <w:rPr>
                <w:rFonts w:ascii="宋体" w:hAnsi="宋体" w:eastAsia="宋体"/>
                <w:b/>
                <w:bCs/>
                <w:sz w:val="21"/>
                <w:szCs w:val="21"/>
              </w:rPr>
              <w:t>100吨以上</w:t>
            </w:r>
          </w:p>
        </w:tc>
        <w:tc>
          <w:tcPr>
            <w:tcW w:w="1015" w:type="dxa"/>
            <w:noWrap w:val="0"/>
            <w:vAlign w:val="center"/>
          </w:tcPr>
          <w:p w14:paraId="043A9D1D">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5</w:t>
            </w:r>
          </w:p>
        </w:tc>
      </w:tr>
      <w:tr w14:paraId="4B107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restart"/>
            <w:noWrap w:val="0"/>
            <w:vAlign w:val="center"/>
          </w:tcPr>
          <w:p w14:paraId="7F9B1337">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违法行为持续时间</w:t>
            </w:r>
          </w:p>
        </w:tc>
        <w:tc>
          <w:tcPr>
            <w:tcW w:w="6945" w:type="dxa"/>
            <w:noWrap w:val="0"/>
            <w:vAlign w:val="center"/>
          </w:tcPr>
          <w:p w14:paraId="566AF991">
            <w:pPr>
              <w:spacing w:before="20" w:after="20" w:line="300" w:lineRule="auto"/>
              <w:rPr>
                <w:rFonts w:hint="eastAsia" w:ascii="宋体" w:hAnsi="宋体" w:eastAsia="宋体"/>
                <w:b/>
                <w:bCs/>
                <w:sz w:val="21"/>
                <w:szCs w:val="21"/>
              </w:rPr>
            </w:pPr>
            <w:r>
              <w:rPr>
                <w:rFonts w:ascii="宋体" w:hAnsi="宋体" w:eastAsia="宋体"/>
                <w:b/>
                <w:bCs/>
                <w:sz w:val="21"/>
                <w:szCs w:val="21"/>
              </w:rPr>
              <w:t>不足3个月</w:t>
            </w:r>
          </w:p>
        </w:tc>
        <w:tc>
          <w:tcPr>
            <w:tcW w:w="1015" w:type="dxa"/>
            <w:noWrap w:val="0"/>
            <w:vAlign w:val="center"/>
          </w:tcPr>
          <w:p w14:paraId="312F5A98">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1</w:t>
            </w:r>
          </w:p>
        </w:tc>
      </w:tr>
      <w:tr w14:paraId="28DFC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1F59D961">
            <w:pPr>
              <w:spacing w:before="20" w:after="20" w:line="300" w:lineRule="auto"/>
              <w:jc w:val="center"/>
              <w:rPr>
                <w:rFonts w:hint="eastAsia" w:ascii="宋体" w:hAnsi="宋体" w:eastAsia="宋体"/>
                <w:b/>
                <w:bCs/>
                <w:sz w:val="21"/>
                <w:szCs w:val="21"/>
              </w:rPr>
            </w:pPr>
          </w:p>
        </w:tc>
        <w:tc>
          <w:tcPr>
            <w:tcW w:w="6945" w:type="dxa"/>
            <w:noWrap w:val="0"/>
            <w:vAlign w:val="center"/>
          </w:tcPr>
          <w:p w14:paraId="24B94A88">
            <w:pPr>
              <w:spacing w:before="20" w:after="20" w:line="300" w:lineRule="auto"/>
              <w:rPr>
                <w:rFonts w:hint="eastAsia" w:ascii="宋体" w:hAnsi="宋体" w:eastAsia="宋体"/>
                <w:b/>
                <w:bCs/>
                <w:sz w:val="21"/>
                <w:szCs w:val="21"/>
              </w:rPr>
            </w:pPr>
            <w:r>
              <w:rPr>
                <w:rFonts w:ascii="宋体" w:hAnsi="宋体" w:eastAsia="宋体"/>
                <w:b/>
                <w:bCs/>
                <w:sz w:val="21"/>
                <w:szCs w:val="21"/>
              </w:rPr>
              <w:t>3个月以上不足6个月</w:t>
            </w:r>
          </w:p>
        </w:tc>
        <w:tc>
          <w:tcPr>
            <w:tcW w:w="1015" w:type="dxa"/>
            <w:noWrap w:val="0"/>
            <w:vAlign w:val="center"/>
          </w:tcPr>
          <w:p w14:paraId="3DF0F9A1">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2</w:t>
            </w:r>
          </w:p>
        </w:tc>
      </w:tr>
      <w:tr w14:paraId="6373A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4965FC5C">
            <w:pPr>
              <w:spacing w:before="20" w:after="20" w:line="300" w:lineRule="auto"/>
              <w:jc w:val="center"/>
              <w:rPr>
                <w:rFonts w:hint="eastAsia" w:ascii="宋体" w:hAnsi="宋体" w:eastAsia="宋体"/>
                <w:b/>
                <w:bCs/>
                <w:sz w:val="21"/>
                <w:szCs w:val="21"/>
              </w:rPr>
            </w:pPr>
          </w:p>
        </w:tc>
        <w:tc>
          <w:tcPr>
            <w:tcW w:w="6945" w:type="dxa"/>
            <w:noWrap w:val="0"/>
            <w:vAlign w:val="center"/>
          </w:tcPr>
          <w:p w14:paraId="1F8EB762">
            <w:pPr>
              <w:spacing w:before="20" w:after="20" w:line="300" w:lineRule="auto"/>
              <w:rPr>
                <w:rFonts w:hint="eastAsia" w:ascii="宋体" w:hAnsi="宋体" w:eastAsia="宋体"/>
                <w:b/>
                <w:bCs/>
                <w:sz w:val="21"/>
                <w:szCs w:val="21"/>
              </w:rPr>
            </w:pPr>
            <w:r>
              <w:rPr>
                <w:rFonts w:ascii="宋体" w:hAnsi="宋体" w:eastAsia="宋体"/>
                <w:b/>
                <w:bCs/>
                <w:sz w:val="21"/>
                <w:szCs w:val="21"/>
              </w:rPr>
              <w:t>6个月以上不足1年</w:t>
            </w:r>
          </w:p>
        </w:tc>
        <w:tc>
          <w:tcPr>
            <w:tcW w:w="1015" w:type="dxa"/>
            <w:noWrap w:val="0"/>
            <w:vAlign w:val="center"/>
          </w:tcPr>
          <w:p w14:paraId="7F3991F8">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3</w:t>
            </w:r>
          </w:p>
        </w:tc>
      </w:tr>
      <w:tr w14:paraId="331DE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1E423DED">
            <w:pPr>
              <w:spacing w:before="20" w:after="20" w:line="300" w:lineRule="auto"/>
              <w:jc w:val="center"/>
              <w:rPr>
                <w:rFonts w:hint="eastAsia" w:ascii="宋体" w:hAnsi="宋体" w:eastAsia="宋体"/>
                <w:b/>
                <w:bCs/>
                <w:sz w:val="21"/>
                <w:szCs w:val="21"/>
              </w:rPr>
            </w:pPr>
          </w:p>
        </w:tc>
        <w:tc>
          <w:tcPr>
            <w:tcW w:w="6945" w:type="dxa"/>
            <w:noWrap w:val="0"/>
            <w:vAlign w:val="center"/>
          </w:tcPr>
          <w:p w14:paraId="2C6A8B35">
            <w:pPr>
              <w:spacing w:before="20" w:after="20" w:line="300" w:lineRule="auto"/>
              <w:rPr>
                <w:rFonts w:hint="eastAsia" w:ascii="宋体" w:hAnsi="宋体" w:eastAsia="宋体"/>
                <w:b/>
                <w:bCs/>
                <w:sz w:val="21"/>
                <w:szCs w:val="21"/>
              </w:rPr>
            </w:pPr>
            <w:r>
              <w:rPr>
                <w:rFonts w:ascii="宋体" w:hAnsi="宋体" w:eastAsia="宋体"/>
                <w:b/>
                <w:bCs/>
                <w:sz w:val="21"/>
                <w:szCs w:val="21"/>
              </w:rPr>
              <w:t>1年以上不足2年</w:t>
            </w:r>
          </w:p>
        </w:tc>
        <w:tc>
          <w:tcPr>
            <w:tcW w:w="1015" w:type="dxa"/>
            <w:noWrap w:val="0"/>
            <w:vAlign w:val="center"/>
          </w:tcPr>
          <w:p w14:paraId="01A3DD77">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4</w:t>
            </w:r>
          </w:p>
        </w:tc>
      </w:tr>
      <w:tr w14:paraId="3E5C0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2F46460E">
            <w:pPr>
              <w:spacing w:before="20" w:after="20" w:line="300" w:lineRule="auto"/>
              <w:jc w:val="center"/>
              <w:rPr>
                <w:rFonts w:hint="eastAsia" w:ascii="宋体" w:hAnsi="宋体" w:eastAsia="宋体"/>
                <w:b/>
                <w:bCs/>
                <w:sz w:val="21"/>
                <w:szCs w:val="21"/>
              </w:rPr>
            </w:pPr>
          </w:p>
        </w:tc>
        <w:tc>
          <w:tcPr>
            <w:tcW w:w="6945" w:type="dxa"/>
            <w:noWrap w:val="0"/>
            <w:vAlign w:val="center"/>
          </w:tcPr>
          <w:p w14:paraId="7845CF5C">
            <w:pPr>
              <w:spacing w:before="20" w:after="20" w:line="300" w:lineRule="auto"/>
              <w:rPr>
                <w:rFonts w:hint="eastAsia" w:ascii="宋体" w:hAnsi="宋体" w:eastAsia="宋体"/>
                <w:b/>
                <w:bCs/>
                <w:sz w:val="21"/>
                <w:szCs w:val="21"/>
              </w:rPr>
            </w:pPr>
            <w:r>
              <w:rPr>
                <w:rFonts w:ascii="宋体" w:hAnsi="宋体" w:eastAsia="宋体"/>
                <w:b/>
                <w:bCs/>
                <w:sz w:val="21"/>
                <w:szCs w:val="21"/>
              </w:rPr>
              <w:t>2年以上</w:t>
            </w:r>
          </w:p>
        </w:tc>
        <w:tc>
          <w:tcPr>
            <w:tcW w:w="1015" w:type="dxa"/>
            <w:noWrap w:val="0"/>
            <w:vAlign w:val="center"/>
          </w:tcPr>
          <w:p w14:paraId="025D8535">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5</w:t>
            </w:r>
          </w:p>
        </w:tc>
      </w:tr>
      <w:tr w14:paraId="7C88C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restart"/>
            <w:noWrap w:val="0"/>
            <w:vAlign w:val="center"/>
          </w:tcPr>
          <w:p w14:paraId="10D4B953">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违法所得金额</w:t>
            </w:r>
          </w:p>
        </w:tc>
        <w:tc>
          <w:tcPr>
            <w:tcW w:w="6945" w:type="dxa"/>
            <w:noWrap w:val="0"/>
            <w:vAlign w:val="center"/>
          </w:tcPr>
          <w:p w14:paraId="498D7AB1">
            <w:pPr>
              <w:spacing w:before="20" w:after="20" w:line="300" w:lineRule="auto"/>
              <w:rPr>
                <w:rFonts w:hint="eastAsia" w:ascii="宋体" w:hAnsi="宋体" w:eastAsia="宋体"/>
                <w:b/>
                <w:bCs/>
                <w:sz w:val="21"/>
                <w:szCs w:val="21"/>
              </w:rPr>
            </w:pPr>
            <w:r>
              <w:rPr>
                <w:rFonts w:hint="eastAsia" w:ascii="宋体" w:hAnsi="宋体" w:eastAsia="宋体"/>
                <w:b/>
                <w:bCs/>
                <w:sz w:val="21"/>
              </w:rPr>
              <w:t>不足20万元</w:t>
            </w:r>
          </w:p>
        </w:tc>
        <w:tc>
          <w:tcPr>
            <w:tcW w:w="1015" w:type="dxa"/>
            <w:noWrap w:val="0"/>
            <w:vAlign w:val="center"/>
          </w:tcPr>
          <w:p w14:paraId="407657F6">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1</w:t>
            </w:r>
          </w:p>
        </w:tc>
      </w:tr>
      <w:tr w14:paraId="0C744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6741D2B2">
            <w:pPr>
              <w:spacing w:before="20" w:after="20" w:line="300" w:lineRule="auto"/>
              <w:jc w:val="center"/>
              <w:rPr>
                <w:rFonts w:hint="eastAsia" w:ascii="宋体" w:hAnsi="宋体" w:eastAsia="宋体"/>
                <w:b/>
                <w:bCs/>
                <w:sz w:val="21"/>
                <w:szCs w:val="21"/>
              </w:rPr>
            </w:pPr>
          </w:p>
        </w:tc>
        <w:tc>
          <w:tcPr>
            <w:tcW w:w="6945" w:type="dxa"/>
            <w:noWrap w:val="0"/>
            <w:vAlign w:val="center"/>
          </w:tcPr>
          <w:p w14:paraId="6BD18A69">
            <w:pPr>
              <w:spacing w:before="20" w:after="20" w:line="300" w:lineRule="auto"/>
              <w:rPr>
                <w:rFonts w:hint="eastAsia" w:ascii="宋体" w:hAnsi="宋体" w:eastAsia="宋体"/>
                <w:b/>
                <w:bCs/>
                <w:sz w:val="21"/>
                <w:szCs w:val="21"/>
              </w:rPr>
            </w:pPr>
            <w:r>
              <w:rPr>
                <w:rFonts w:hint="eastAsia" w:ascii="宋体" w:hAnsi="宋体" w:eastAsia="宋体"/>
                <w:b/>
                <w:bCs/>
                <w:sz w:val="21"/>
              </w:rPr>
              <w:t>20万元以上，不足50万元</w:t>
            </w:r>
          </w:p>
        </w:tc>
        <w:tc>
          <w:tcPr>
            <w:tcW w:w="1015" w:type="dxa"/>
            <w:noWrap w:val="0"/>
            <w:vAlign w:val="center"/>
          </w:tcPr>
          <w:p w14:paraId="5D7D1E0B">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2</w:t>
            </w:r>
          </w:p>
        </w:tc>
      </w:tr>
      <w:tr w14:paraId="567A4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7AAC4A5C">
            <w:pPr>
              <w:spacing w:before="20" w:after="20" w:line="300" w:lineRule="auto"/>
              <w:jc w:val="center"/>
              <w:rPr>
                <w:rFonts w:hint="eastAsia" w:ascii="宋体" w:hAnsi="宋体" w:eastAsia="宋体"/>
                <w:b/>
                <w:bCs/>
                <w:sz w:val="21"/>
                <w:szCs w:val="21"/>
              </w:rPr>
            </w:pPr>
          </w:p>
        </w:tc>
        <w:tc>
          <w:tcPr>
            <w:tcW w:w="6945" w:type="dxa"/>
            <w:noWrap w:val="0"/>
            <w:vAlign w:val="center"/>
          </w:tcPr>
          <w:p w14:paraId="5BFAF77C">
            <w:pPr>
              <w:spacing w:before="20" w:after="20" w:line="300" w:lineRule="auto"/>
              <w:rPr>
                <w:rFonts w:hint="eastAsia" w:ascii="宋体" w:hAnsi="宋体" w:eastAsia="宋体"/>
                <w:b/>
                <w:bCs/>
                <w:sz w:val="21"/>
                <w:szCs w:val="21"/>
              </w:rPr>
            </w:pPr>
            <w:r>
              <w:rPr>
                <w:rFonts w:hint="eastAsia" w:ascii="宋体" w:hAnsi="宋体" w:eastAsia="宋体"/>
                <w:b/>
                <w:bCs/>
                <w:sz w:val="21"/>
              </w:rPr>
              <w:t>50万元以上，不足100万元</w:t>
            </w:r>
          </w:p>
        </w:tc>
        <w:tc>
          <w:tcPr>
            <w:tcW w:w="1015" w:type="dxa"/>
            <w:noWrap w:val="0"/>
            <w:vAlign w:val="center"/>
          </w:tcPr>
          <w:p w14:paraId="4E31457F">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3</w:t>
            </w:r>
          </w:p>
        </w:tc>
      </w:tr>
      <w:tr w14:paraId="659B3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27FD0E5A">
            <w:pPr>
              <w:spacing w:before="20" w:after="20" w:line="300" w:lineRule="auto"/>
              <w:jc w:val="center"/>
              <w:rPr>
                <w:rFonts w:hint="eastAsia" w:ascii="宋体" w:hAnsi="宋体" w:eastAsia="宋体"/>
                <w:b/>
                <w:bCs/>
                <w:sz w:val="21"/>
                <w:szCs w:val="21"/>
              </w:rPr>
            </w:pPr>
          </w:p>
        </w:tc>
        <w:tc>
          <w:tcPr>
            <w:tcW w:w="6945" w:type="dxa"/>
            <w:noWrap w:val="0"/>
            <w:vAlign w:val="center"/>
          </w:tcPr>
          <w:p w14:paraId="0658B707">
            <w:pPr>
              <w:spacing w:before="20" w:after="20" w:line="300" w:lineRule="auto"/>
              <w:rPr>
                <w:rFonts w:hint="eastAsia" w:ascii="宋体" w:hAnsi="宋体" w:eastAsia="宋体"/>
                <w:b/>
                <w:bCs/>
                <w:sz w:val="21"/>
                <w:szCs w:val="21"/>
              </w:rPr>
            </w:pPr>
            <w:r>
              <w:rPr>
                <w:rFonts w:hint="eastAsia" w:ascii="宋体" w:hAnsi="宋体" w:eastAsia="宋体"/>
                <w:b/>
                <w:bCs/>
                <w:sz w:val="21"/>
              </w:rPr>
              <w:t>100万元以上，不足500万元</w:t>
            </w:r>
          </w:p>
        </w:tc>
        <w:tc>
          <w:tcPr>
            <w:tcW w:w="1015" w:type="dxa"/>
            <w:noWrap w:val="0"/>
            <w:vAlign w:val="center"/>
          </w:tcPr>
          <w:p w14:paraId="0B54C396">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4</w:t>
            </w:r>
          </w:p>
        </w:tc>
      </w:tr>
      <w:tr w14:paraId="191E3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79C98D53">
            <w:pPr>
              <w:spacing w:before="20" w:after="20" w:line="300" w:lineRule="auto"/>
              <w:jc w:val="center"/>
              <w:rPr>
                <w:rFonts w:hint="eastAsia" w:ascii="宋体" w:hAnsi="宋体" w:eastAsia="宋体"/>
                <w:b/>
                <w:bCs/>
                <w:sz w:val="21"/>
                <w:szCs w:val="21"/>
              </w:rPr>
            </w:pPr>
          </w:p>
        </w:tc>
        <w:tc>
          <w:tcPr>
            <w:tcW w:w="6945" w:type="dxa"/>
            <w:noWrap w:val="0"/>
            <w:vAlign w:val="center"/>
          </w:tcPr>
          <w:p w14:paraId="129D2F22">
            <w:pPr>
              <w:spacing w:before="20" w:after="20" w:line="300" w:lineRule="auto"/>
              <w:rPr>
                <w:rFonts w:hint="eastAsia" w:ascii="宋体" w:hAnsi="宋体" w:eastAsia="宋体"/>
                <w:b/>
                <w:bCs/>
                <w:sz w:val="21"/>
                <w:szCs w:val="21"/>
              </w:rPr>
            </w:pPr>
            <w:r>
              <w:rPr>
                <w:rFonts w:hint="eastAsia" w:ascii="宋体" w:hAnsi="宋体" w:eastAsia="宋体"/>
                <w:b/>
                <w:bCs/>
                <w:sz w:val="21"/>
              </w:rPr>
              <w:t>500万元以上</w:t>
            </w:r>
          </w:p>
        </w:tc>
        <w:tc>
          <w:tcPr>
            <w:tcW w:w="1015" w:type="dxa"/>
            <w:noWrap w:val="0"/>
            <w:vAlign w:val="center"/>
          </w:tcPr>
          <w:p w14:paraId="48E004A5">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5</w:t>
            </w:r>
          </w:p>
        </w:tc>
      </w:tr>
      <w:tr w14:paraId="7632E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noWrap w:val="0"/>
            <w:vAlign w:val="center"/>
          </w:tcPr>
          <w:p w14:paraId="6B84CBB9">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备注</w:t>
            </w:r>
          </w:p>
        </w:tc>
        <w:tc>
          <w:tcPr>
            <w:tcW w:w="7960" w:type="dxa"/>
            <w:gridSpan w:val="2"/>
            <w:noWrap w:val="0"/>
            <w:vAlign w:val="center"/>
          </w:tcPr>
          <w:p w14:paraId="1CEDED5C">
            <w:pPr>
              <w:spacing w:before="20" w:after="20" w:line="300" w:lineRule="auto"/>
              <w:rPr>
                <w:rFonts w:hint="eastAsia" w:ascii="宋体" w:hAnsi="宋体" w:eastAsia="宋体"/>
                <w:b/>
                <w:bCs/>
                <w:sz w:val="21"/>
                <w:szCs w:val="21"/>
              </w:rPr>
            </w:pPr>
            <w:r>
              <w:rPr>
                <w:rFonts w:ascii="宋体" w:hAnsi="宋体" w:eastAsia="宋体"/>
                <w:b/>
                <w:bCs/>
                <w:sz w:val="21"/>
                <w:szCs w:val="21"/>
              </w:rPr>
              <w:t>本条处罚同时包含没收用于违法生产的原料、违法生产的消耗臭氧层物质和违法所得，以及拆除、销毁用于违法生产的设备、设施；罚款金额根据本表裁量情形应用公式计算。</w:t>
            </w:r>
          </w:p>
        </w:tc>
      </w:tr>
    </w:tbl>
    <w:p w14:paraId="5140B644">
      <w:pPr>
        <w:spacing w:before="40" w:after="40" w:line="400" w:lineRule="auto"/>
        <w:jc w:val="both"/>
        <w:rPr>
          <w:rFonts w:hint="eastAsia" w:eastAsia="等线"/>
          <w:lang w:eastAsia="zh-CN"/>
        </w:rPr>
      </w:pPr>
      <w:r>
        <w:rPr>
          <w:rFonts w:hint="eastAsia" w:ascii="Times New Roman" w:hAnsi="Times New Roman" w:eastAsia="黑体"/>
          <w:b/>
          <w:sz w:val="24"/>
        </w:rPr>
        <w:t>5.</w:t>
      </w:r>
      <w:r>
        <w:rPr>
          <w:rFonts w:ascii="Times New Roman" w:hAnsi="Times New Roman" w:eastAsia="黑体"/>
          <w:b/>
          <w:sz w:val="24"/>
        </w:rPr>
        <w:t>无使用配额许可证使用消耗臭氧层物质，或者将已淘汰的消耗臭氧层物质用于受控用途的行为</w:t>
      </w:r>
      <w:r>
        <w:rPr>
          <w:rFonts w:hint="eastAsia"/>
        </w:rPr>
        <w:t xml:space="preserve"> </w:t>
      </w:r>
      <w:r>
        <w:rPr>
          <w:rFonts w:hint="eastAsia"/>
          <w:lang w:eastAsia="zh-CN"/>
        </w:rPr>
        <w:t>（新增）</w:t>
      </w:r>
    </w:p>
    <w:tbl>
      <w:tblPr>
        <w:tblStyle w:val="8"/>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93"/>
        <w:gridCol w:w="7039"/>
        <w:gridCol w:w="1040"/>
      </w:tblGrid>
      <w:tr w14:paraId="080DE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3" w:type="dxa"/>
            <w:noWrap w:val="0"/>
            <w:vAlign w:val="center"/>
          </w:tcPr>
          <w:p w14:paraId="7A1EAB8C">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违反条款</w:t>
            </w:r>
          </w:p>
        </w:tc>
        <w:tc>
          <w:tcPr>
            <w:tcW w:w="8079" w:type="dxa"/>
            <w:gridSpan w:val="2"/>
            <w:noWrap w:val="0"/>
            <w:vAlign w:val="center"/>
          </w:tcPr>
          <w:p w14:paraId="7078C937">
            <w:pPr>
              <w:spacing w:before="20" w:after="20" w:line="300" w:lineRule="auto"/>
              <w:jc w:val="both"/>
              <w:rPr>
                <w:rFonts w:hint="eastAsia" w:ascii="宋体" w:hAnsi="宋体" w:eastAsia="宋体"/>
                <w:b/>
                <w:bCs/>
                <w:sz w:val="21"/>
                <w:szCs w:val="21"/>
              </w:rPr>
            </w:pPr>
            <w:r>
              <w:rPr>
                <w:rFonts w:ascii="宋体" w:hAnsi="宋体" w:eastAsia="宋体"/>
                <w:b/>
                <w:bCs/>
                <w:sz w:val="21"/>
                <w:szCs w:val="21"/>
              </w:rPr>
              <w:t>《消耗臭氧层物质管理条例》（2026修订版）第十六条第二款</w:t>
            </w:r>
            <w:r>
              <w:rPr>
                <w:rFonts w:hint="eastAsia" w:ascii="宋体" w:hAnsi="宋体" w:eastAsia="宋体"/>
                <w:b/>
                <w:bCs/>
                <w:sz w:val="21"/>
                <w:szCs w:val="21"/>
              </w:rPr>
              <w:t xml:space="preserve"> </w:t>
            </w:r>
            <w:r>
              <w:rPr>
                <w:rFonts w:ascii="宋体" w:hAnsi="宋体" w:eastAsia="宋体"/>
                <w:b/>
                <w:bCs/>
                <w:sz w:val="21"/>
                <w:szCs w:val="21"/>
              </w:rPr>
              <w:t>除本条例第十条规定的不需要申请领取使用配额许可证的情形外，禁止无使用配额许可证使用消耗臭氧层物质。</w:t>
            </w:r>
          </w:p>
          <w:p w14:paraId="21C160CF">
            <w:pPr>
              <w:spacing w:before="20" w:after="20" w:line="300" w:lineRule="auto"/>
              <w:rPr>
                <w:rFonts w:hint="eastAsia" w:ascii="宋体" w:hAnsi="宋体" w:eastAsia="宋体"/>
                <w:b/>
                <w:bCs/>
                <w:sz w:val="21"/>
                <w:szCs w:val="21"/>
              </w:rPr>
            </w:pPr>
            <w:r>
              <w:rPr>
                <w:rFonts w:ascii="宋体" w:hAnsi="宋体" w:eastAsia="宋体"/>
                <w:b/>
                <w:bCs/>
                <w:sz w:val="21"/>
                <w:szCs w:val="21"/>
              </w:rPr>
              <w:t>第五条</w:t>
            </w:r>
            <w:r>
              <w:rPr>
                <w:rFonts w:hint="eastAsia" w:ascii="宋体" w:hAnsi="宋体" w:eastAsia="宋体"/>
                <w:b/>
                <w:bCs/>
                <w:sz w:val="21"/>
                <w:szCs w:val="21"/>
              </w:rPr>
              <w:t>第一款、第二款 国家逐步削减并最终淘汰作为制冷剂、发泡剂、灭火剂、溶剂、清洗剂、加工助剂、杀虫剂、气雾剂、膨胀剂等用途的消耗臭氧层物质。</w:t>
            </w:r>
          </w:p>
          <w:p w14:paraId="16F4B884">
            <w:pPr>
              <w:spacing w:before="20" w:after="20" w:line="300" w:lineRule="auto"/>
              <w:rPr>
                <w:rFonts w:hint="eastAsia" w:ascii="宋体" w:hAnsi="宋体" w:eastAsia="宋体"/>
                <w:b/>
                <w:bCs/>
                <w:sz w:val="21"/>
                <w:szCs w:val="21"/>
              </w:rPr>
            </w:pPr>
            <w:r>
              <w:rPr>
                <w:rFonts w:hint="eastAsia" w:ascii="宋体" w:hAnsi="宋体" w:eastAsia="宋体"/>
                <w:b/>
                <w:bCs/>
                <w:sz w:val="21"/>
                <w:szCs w:val="21"/>
              </w:rPr>
              <w:t>禁止将国家已经淘汰的消耗臭氧层物质用于前款规定的用途。</w:t>
            </w:r>
          </w:p>
        </w:tc>
      </w:tr>
      <w:tr w14:paraId="11DFC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3" w:type="dxa"/>
            <w:noWrap w:val="0"/>
            <w:vAlign w:val="center"/>
          </w:tcPr>
          <w:p w14:paraId="1FA2BEA1">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处罚依据</w:t>
            </w:r>
          </w:p>
        </w:tc>
        <w:tc>
          <w:tcPr>
            <w:tcW w:w="8079" w:type="dxa"/>
            <w:gridSpan w:val="2"/>
            <w:noWrap w:val="0"/>
            <w:vAlign w:val="center"/>
          </w:tcPr>
          <w:p w14:paraId="419EB0C4">
            <w:pPr>
              <w:spacing w:before="20" w:after="20" w:line="300" w:lineRule="auto"/>
              <w:rPr>
                <w:rFonts w:hint="eastAsia" w:ascii="宋体" w:hAnsi="宋体" w:eastAsia="宋体"/>
                <w:b/>
                <w:bCs/>
                <w:sz w:val="21"/>
                <w:szCs w:val="21"/>
              </w:rPr>
            </w:pPr>
            <w:r>
              <w:rPr>
                <w:rFonts w:ascii="宋体" w:hAnsi="宋体" w:eastAsia="宋体"/>
                <w:b/>
                <w:bCs/>
                <w:sz w:val="21"/>
                <w:szCs w:val="21"/>
              </w:rPr>
              <w:t>《消耗臭氧层物质管理条例》（2026修订版）第三十一条</w:t>
            </w:r>
            <w:r>
              <w:rPr>
                <w:rFonts w:hint="eastAsia" w:ascii="宋体" w:hAnsi="宋体" w:eastAsia="宋体"/>
                <w:b/>
                <w:bCs/>
                <w:sz w:val="21"/>
                <w:szCs w:val="21"/>
              </w:rPr>
              <w:t xml:space="preserve"> </w:t>
            </w:r>
            <w:r>
              <w:rPr>
                <w:rFonts w:ascii="宋体" w:hAnsi="宋体" w:eastAsia="宋体"/>
                <w:b/>
                <w:bCs/>
                <w:sz w:val="21"/>
                <w:szCs w:val="21"/>
              </w:rPr>
              <w:t>依照本条例规定应当申请领取使用配额许可证的单位无使用配额许可证使用消耗臭氧层物质，或者违反本条例规定将已淘汰的消耗臭氧层物质用于制冷剂、发泡剂、灭火剂、溶剂、清洗剂、加工助剂、杀虫剂、气雾剂、膨胀剂等用途的，由所在地生态环境主管部门责令停止违法行为，没收违法使用的消耗臭氧层物质、违法使用消耗臭氧层物质生产的产品和违法所得，并处20万元以上50万元以下的罚款；情节严重的，并处50万元以上100万元以下的罚款，拆除、销毁用于违法使用消耗臭氧层物质的设备、设施。</w:t>
            </w:r>
          </w:p>
        </w:tc>
      </w:tr>
      <w:tr w14:paraId="4F87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3" w:type="dxa"/>
            <w:noWrap w:val="0"/>
            <w:vAlign w:val="center"/>
          </w:tcPr>
          <w:p w14:paraId="707BE6C4">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裁量因素</w:t>
            </w:r>
          </w:p>
        </w:tc>
        <w:tc>
          <w:tcPr>
            <w:tcW w:w="7039" w:type="dxa"/>
            <w:noWrap w:val="0"/>
            <w:vAlign w:val="center"/>
          </w:tcPr>
          <w:p w14:paraId="68FE4048">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裁量因子</w:t>
            </w:r>
          </w:p>
        </w:tc>
        <w:tc>
          <w:tcPr>
            <w:tcW w:w="1040" w:type="dxa"/>
            <w:noWrap w:val="0"/>
            <w:vAlign w:val="center"/>
          </w:tcPr>
          <w:p w14:paraId="25B63C26">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裁量等级</w:t>
            </w:r>
          </w:p>
        </w:tc>
      </w:tr>
      <w:tr w14:paraId="42BAD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3" w:type="dxa"/>
            <w:vMerge w:val="restart"/>
            <w:noWrap w:val="0"/>
            <w:vAlign w:val="center"/>
          </w:tcPr>
          <w:p w14:paraId="657B6964">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违法</w:t>
            </w:r>
            <w:r>
              <w:rPr>
                <w:rFonts w:hint="eastAsia" w:ascii="宋体" w:hAnsi="宋体" w:eastAsia="宋体"/>
                <w:b/>
                <w:bCs/>
                <w:sz w:val="21"/>
                <w:szCs w:val="21"/>
              </w:rPr>
              <w:t>事实</w:t>
            </w:r>
          </w:p>
        </w:tc>
        <w:tc>
          <w:tcPr>
            <w:tcW w:w="7039" w:type="dxa"/>
            <w:noWrap w:val="0"/>
            <w:vAlign w:val="center"/>
          </w:tcPr>
          <w:p w14:paraId="73E4324E">
            <w:pPr>
              <w:spacing w:before="20" w:after="20" w:line="300" w:lineRule="auto"/>
              <w:rPr>
                <w:rFonts w:hint="eastAsia" w:ascii="宋体" w:hAnsi="宋体" w:eastAsia="宋体"/>
                <w:b/>
                <w:bCs/>
                <w:sz w:val="21"/>
                <w:szCs w:val="21"/>
              </w:rPr>
            </w:pPr>
            <w:r>
              <w:rPr>
                <w:rFonts w:ascii="宋体" w:hAnsi="宋体" w:eastAsia="宋体"/>
                <w:b/>
                <w:bCs/>
                <w:sz w:val="21"/>
                <w:szCs w:val="21"/>
              </w:rPr>
              <w:t>无使用配额许可证使用消耗臭氧层物质</w:t>
            </w:r>
          </w:p>
        </w:tc>
        <w:tc>
          <w:tcPr>
            <w:tcW w:w="1040" w:type="dxa"/>
            <w:noWrap w:val="0"/>
            <w:vAlign w:val="center"/>
          </w:tcPr>
          <w:p w14:paraId="168F6EF3">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3</w:t>
            </w:r>
          </w:p>
        </w:tc>
      </w:tr>
      <w:tr w14:paraId="00840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3" w:type="dxa"/>
            <w:vMerge w:val="continue"/>
            <w:noWrap w:val="0"/>
            <w:vAlign w:val="center"/>
          </w:tcPr>
          <w:p w14:paraId="61D6A0DD">
            <w:pPr>
              <w:spacing w:before="20" w:after="20" w:line="300" w:lineRule="auto"/>
              <w:jc w:val="center"/>
              <w:rPr>
                <w:rFonts w:hint="eastAsia" w:ascii="宋体" w:hAnsi="宋体" w:eastAsia="宋体"/>
                <w:b/>
                <w:bCs/>
                <w:sz w:val="21"/>
                <w:szCs w:val="21"/>
              </w:rPr>
            </w:pPr>
          </w:p>
        </w:tc>
        <w:tc>
          <w:tcPr>
            <w:tcW w:w="7039" w:type="dxa"/>
            <w:noWrap w:val="0"/>
            <w:vAlign w:val="center"/>
          </w:tcPr>
          <w:p w14:paraId="006F997C">
            <w:pPr>
              <w:spacing w:before="20" w:after="20" w:line="300" w:lineRule="auto"/>
              <w:rPr>
                <w:rFonts w:hint="eastAsia" w:ascii="宋体" w:hAnsi="宋体" w:eastAsia="宋体"/>
                <w:b/>
                <w:bCs/>
                <w:sz w:val="21"/>
                <w:szCs w:val="21"/>
              </w:rPr>
            </w:pPr>
            <w:r>
              <w:rPr>
                <w:rFonts w:ascii="宋体" w:hAnsi="宋体" w:eastAsia="宋体"/>
                <w:b/>
                <w:bCs/>
                <w:sz w:val="21"/>
                <w:szCs w:val="21"/>
              </w:rPr>
              <w:t>将已淘汰的消耗臭氧层物质用于受控用途</w:t>
            </w:r>
          </w:p>
        </w:tc>
        <w:tc>
          <w:tcPr>
            <w:tcW w:w="1040" w:type="dxa"/>
            <w:noWrap w:val="0"/>
            <w:vAlign w:val="center"/>
          </w:tcPr>
          <w:p w14:paraId="6827F926">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5</w:t>
            </w:r>
          </w:p>
        </w:tc>
      </w:tr>
      <w:tr w14:paraId="67E09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3" w:type="dxa"/>
            <w:vMerge w:val="restart"/>
            <w:noWrap w:val="0"/>
            <w:vAlign w:val="center"/>
          </w:tcPr>
          <w:p w14:paraId="1085060A">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违法使用数量</w:t>
            </w:r>
          </w:p>
        </w:tc>
        <w:tc>
          <w:tcPr>
            <w:tcW w:w="7039" w:type="dxa"/>
            <w:noWrap w:val="0"/>
            <w:vAlign w:val="center"/>
          </w:tcPr>
          <w:p w14:paraId="2BA59136">
            <w:pPr>
              <w:spacing w:before="20" w:after="20" w:line="300" w:lineRule="auto"/>
              <w:rPr>
                <w:rFonts w:hint="eastAsia" w:ascii="宋体" w:hAnsi="宋体" w:eastAsia="宋体"/>
                <w:b/>
                <w:bCs/>
                <w:sz w:val="21"/>
                <w:szCs w:val="21"/>
              </w:rPr>
            </w:pPr>
            <w:r>
              <w:rPr>
                <w:rFonts w:ascii="宋体" w:hAnsi="宋体" w:eastAsia="宋体"/>
                <w:b/>
                <w:bCs/>
                <w:sz w:val="21"/>
                <w:szCs w:val="21"/>
              </w:rPr>
              <w:t>不足1吨</w:t>
            </w:r>
          </w:p>
        </w:tc>
        <w:tc>
          <w:tcPr>
            <w:tcW w:w="1040" w:type="dxa"/>
            <w:noWrap w:val="0"/>
            <w:vAlign w:val="center"/>
          </w:tcPr>
          <w:p w14:paraId="62BA4C09">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1</w:t>
            </w:r>
          </w:p>
        </w:tc>
      </w:tr>
      <w:tr w14:paraId="22EE9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3" w:type="dxa"/>
            <w:vMerge w:val="continue"/>
            <w:noWrap w:val="0"/>
            <w:vAlign w:val="center"/>
          </w:tcPr>
          <w:p w14:paraId="7A993570">
            <w:pPr>
              <w:spacing w:before="20" w:after="20" w:line="300" w:lineRule="auto"/>
              <w:jc w:val="center"/>
              <w:rPr>
                <w:rFonts w:hint="eastAsia" w:ascii="宋体" w:hAnsi="宋体" w:eastAsia="宋体"/>
                <w:b/>
                <w:bCs/>
                <w:sz w:val="21"/>
                <w:szCs w:val="21"/>
              </w:rPr>
            </w:pPr>
          </w:p>
        </w:tc>
        <w:tc>
          <w:tcPr>
            <w:tcW w:w="7039" w:type="dxa"/>
            <w:noWrap w:val="0"/>
            <w:vAlign w:val="center"/>
          </w:tcPr>
          <w:p w14:paraId="036E0452">
            <w:pPr>
              <w:spacing w:before="20" w:after="20" w:line="300" w:lineRule="auto"/>
              <w:rPr>
                <w:rFonts w:hint="eastAsia" w:ascii="宋体" w:hAnsi="宋体" w:eastAsia="宋体"/>
                <w:b/>
                <w:bCs/>
                <w:sz w:val="21"/>
                <w:szCs w:val="21"/>
              </w:rPr>
            </w:pPr>
            <w:r>
              <w:rPr>
                <w:rFonts w:ascii="宋体" w:hAnsi="宋体" w:eastAsia="宋体"/>
                <w:b/>
                <w:bCs/>
                <w:sz w:val="21"/>
                <w:szCs w:val="21"/>
              </w:rPr>
              <w:t>1吨以上不足10吨</w:t>
            </w:r>
          </w:p>
        </w:tc>
        <w:tc>
          <w:tcPr>
            <w:tcW w:w="1040" w:type="dxa"/>
            <w:noWrap w:val="0"/>
            <w:vAlign w:val="center"/>
          </w:tcPr>
          <w:p w14:paraId="70CA707E">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3</w:t>
            </w:r>
          </w:p>
        </w:tc>
      </w:tr>
      <w:tr w14:paraId="2E39C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3" w:type="dxa"/>
            <w:vMerge w:val="continue"/>
            <w:noWrap w:val="0"/>
            <w:vAlign w:val="center"/>
          </w:tcPr>
          <w:p w14:paraId="3D91397D">
            <w:pPr>
              <w:spacing w:before="20" w:after="20" w:line="300" w:lineRule="auto"/>
              <w:jc w:val="center"/>
              <w:rPr>
                <w:rFonts w:hint="eastAsia" w:ascii="宋体" w:hAnsi="宋体" w:eastAsia="宋体"/>
                <w:b/>
                <w:bCs/>
                <w:sz w:val="21"/>
                <w:szCs w:val="21"/>
              </w:rPr>
            </w:pPr>
          </w:p>
        </w:tc>
        <w:tc>
          <w:tcPr>
            <w:tcW w:w="7039" w:type="dxa"/>
            <w:noWrap w:val="0"/>
            <w:vAlign w:val="center"/>
          </w:tcPr>
          <w:p w14:paraId="25C3EE89">
            <w:pPr>
              <w:spacing w:before="20" w:after="20" w:line="300" w:lineRule="auto"/>
              <w:rPr>
                <w:rFonts w:hint="eastAsia" w:ascii="宋体" w:hAnsi="宋体" w:eastAsia="宋体"/>
                <w:b/>
                <w:bCs/>
                <w:sz w:val="21"/>
                <w:szCs w:val="21"/>
              </w:rPr>
            </w:pPr>
            <w:r>
              <w:rPr>
                <w:rFonts w:ascii="宋体" w:hAnsi="宋体" w:eastAsia="宋体"/>
                <w:b/>
                <w:bCs/>
                <w:sz w:val="21"/>
                <w:szCs w:val="21"/>
              </w:rPr>
              <w:t>10吨以上</w:t>
            </w:r>
          </w:p>
        </w:tc>
        <w:tc>
          <w:tcPr>
            <w:tcW w:w="1040" w:type="dxa"/>
            <w:noWrap w:val="0"/>
            <w:vAlign w:val="center"/>
          </w:tcPr>
          <w:p w14:paraId="01E3DFBF">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5</w:t>
            </w:r>
          </w:p>
        </w:tc>
      </w:tr>
      <w:tr w14:paraId="3B3E0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3" w:type="dxa"/>
            <w:vMerge w:val="restart"/>
            <w:noWrap w:val="0"/>
            <w:vAlign w:val="center"/>
          </w:tcPr>
          <w:p w14:paraId="0829AE64">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违法行为持续时间</w:t>
            </w:r>
          </w:p>
        </w:tc>
        <w:tc>
          <w:tcPr>
            <w:tcW w:w="7039" w:type="dxa"/>
            <w:noWrap w:val="0"/>
            <w:vAlign w:val="center"/>
          </w:tcPr>
          <w:p w14:paraId="084EF9C4">
            <w:pPr>
              <w:spacing w:before="20" w:after="20" w:line="300" w:lineRule="auto"/>
              <w:rPr>
                <w:rFonts w:hint="eastAsia" w:ascii="宋体" w:hAnsi="宋体" w:eastAsia="宋体"/>
                <w:b/>
                <w:bCs/>
                <w:sz w:val="21"/>
                <w:szCs w:val="21"/>
              </w:rPr>
            </w:pPr>
            <w:r>
              <w:rPr>
                <w:rFonts w:ascii="宋体" w:hAnsi="宋体" w:eastAsia="宋体"/>
                <w:b/>
                <w:bCs/>
                <w:sz w:val="21"/>
                <w:szCs w:val="21"/>
              </w:rPr>
              <w:t>不足3个月</w:t>
            </w:r>
          </w:p>
        </w:tc>
        <w:tc>
          <w:tcPr>
            <w:tcW w:w="1040" w:type="dxa"/>
            <w:noWrap w:val="0"/>
            <w:vAlign w:val="center"/>
          </w:tcPr>
          <w:p w14:paraId="3BC09FD5">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1</w:t>
            </w:r>
          </w:p>
        </w:tc>
      </w:tr>
      <w:tr w14:paraId="20660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3" w:type="dxa"/>
            <w:vMerge w:val="continue"/>
            <w:noWrap w:val="0"/>
            <w:vAlign w:val="center"/>
          </w:tcPr>
          <w:p w14:paraId="067E975C">
            <w:pPr>
              <w:spacing w:before="20" w:after="20" w:line="300" w:lineRule="auto"/>
              <w:jc w:val="center"/>
              <w:rPr>
                <w:rFonts w:hint="eastAsia" w:ascii="宋体" w:hAnsi="宋体" w:eastAsia="宋体"/>
                <w:b/>
                <w:bCs/>
                <w:sz w:val="21"/>
                <w:szCs w:val="21"/>
              </w:rPr>
            </w:pPr>
          </w:p>
        </w:tc>
        <w:tc>
          <w:tcPr>
            <w:tcW w:w="7039" w:type="dxa"/>
            <w:noWrap w:val="0"/>
            <w:vAlign w:val="center"/>
          </w:tcPr>
          <w:p w14:paraId="0D4EDD52">
            <w:pPr>
              <w:spacing w:before="20" w:after="20" w:line="300" w:lineRule="auto"/>
              <w:rPr>
                <w:rFonts w:hint="eastAsia" w:ascii="宋体" w:hAnsi="宋体" w:eastAsia="宋体"/>
                <w:b/>
                <w:bCs/>
                <w:sz w:val="21"/>
                <w:szCs w:val="21"/>
              </w:rPr>
            </w:pPr>
            <w:r>
              <w:rPr>
                <w:rFonts w:ascii="宋体" w:hAnsi="宋体" w:eastAsia="宋体"/>
                <w:b/>
                <w:bCs/>
                <w:sz w:val="21"/>
                <w:szCs w:val="21"/>
              </w:rPr>
              <w:t>3个月以上不足6个月</w:t>
            </w:r>
          </w:p>
        </w:tc>
        <w:tc>
          <w:tcPr>
            <w:tcW w:w="1040" w:type="dxa"/>
            <w:noWrap w:val="0"/>
            <w:vAlign w:val="center"/>
          </w:tcPr>
          <w:p w14:paraId="345094FF">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2</w:t>
            </w:r>
          </w:p>
        </w:tc>
      </w:tr>
      <w:tr w14:paraId="7FF94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3" w:type="dxa"/>
            <w:vMerge w:val="continue"/>
            <w:noWrap w:val="0"/>
            <w:vAlign w:val="center"/>
          </w:tcPr>
          <w:p w14:paraId="17F319FD">
            <w:pPr>
              <w:spacing w:before="20" w:after="20" w:line="300" w:lineRule="auto"/>
              <w:jc w:val="center"/>
              <w:rPr>
                <w:rFonts w:hint="eastAsia" w:ascii="宋体" w:hAnsi="宋体" w:eastAsia="宋体"/>
                <w:b/>
                <w:bCs/>
                <w:sz w:val="21"/>
                <w:szCs w:val="21"/>
              </w:rPr>
            </w:pPr>
          </w:p>
        </w:tc>
        <w:tc>
          <w:tcPr>
            <w:tcW w:w="7039" w:type="dxa"/>
            <w:noWrap w:val="0"/>
            <w:vAlign w:val="center"/>
          </w:tcPr>
          <w:p w14:paraId="755A603A">
            <w:pPr>
              <w:spacing w:before="20" w:after="20" w:line="300" w:lineRule="auto"/>
              <w:rPr>
                <w:rFonts w:hint="eastAsia" w:ascii="宋体" w:hAnsi="宋体" w:eastAsia="宋体"/>
                <w:b/>
                <w:bCs/>
                <w:sz w:val="21"/>
                <w:szCs w:val="21"/>
              </w:rPr>
            </w:pPr>
            <w:r>
              <w:rPr>
                <w:rFonts w:ascii="宋体" w:hAnsi="宋体" w:eastAsia="宋体"/>
                <w:b/>
                <w:bCs/>
                <w:sz w:val="21"/>
                <w:szCs w:val="21"/>
              </w:rPr>
              <w:t>6个月以上不足1年</w:t>
            </w:r>
          </w:p>
        </w:tc>
        <w:tc>
          <w:tcPr>
            <w:tcW w:w="1040" w:type="dxa"/>
            <w:noWrap w:val="0"/>
            <w:vAlign w:val="center"/>
          </w:tcPr>
          <w:p w14:paraId="181BBC9B">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3</w:t>
            </w:r>
          </w:p>
        </w:tc>
      </w:tr>
      <w:tr w14:paraId="44C4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3" w:type="dxa"/>
            <w:vMerge w:val="continue"/>
            <w:noWrap w:val="0"/>
            <w:vAlign w:val="center"/>
          </w:tcPr>
          <w:p w14:paraId="75E56448">
            <w:pPr>
              <w:spacing w:before="20" w:after="20" w:line="300" w:lineRule="auto"/>
              <w:jc w:val="center"/>
              <w:rPr>
                <w:rFonts w:hint="eastAsia" w:ascii="宋体" w:hAnsi="宋体" w:eastAsia="宋体"/>
                <w:b/>
                <w:bCs/>
                <w:sz w:val="21"/>
                <w:szCs w:val="21"/>
              </w:rPr>
            </w:pPr>
          </w:p>
        </w:tc>
        <w:tc>
          <w:tcPr>
            <w:tcW w:w="7039" w:type="dxa"/>
            <w:noWrap w:val="0"/>
            <w:vAlign w:val="center"/>
          </w:tcPr>
          <w:p w14:paraId="650CE6F5">
            <w:pPr>
              <w:spacing w:before="20" w:after="20" w:line="300" w:lineRule="auto"/>
              <w:rPr>
                <w:rFonts w:hint="eastAsia" w:ascii="宋体" w:hAnsi="宋体" w:eastAsia="宋体"/>
                <w:b/>
                <w:bCs/>
                <w:sz w:val="21"/>
                <w:szCs w:val="21"/>
              </w:rPr>
            </w:pPr>
            <w:r>
              <w:rPr>
                <w:rFonts w:ascii="宋体" w:hAnsi="宋体" w:eastAsia="宋体"/>
                <w:b/>
                <w:bCs/>
                <w:sz w:val="21"/>
                <w:szCs w:val="21"/>
              </w:rPr>
              <w:t>1年以上不足2年</w:t>
            </w:r>
          </w:p>
        </w:tc>
        <w:tc>
          <w:tcPr>
            <w:tcW w:w="1040" w:type="dxa"/>
            <w:noWrap w:val="0"/>
            <w:vAlign w:val="center"/>
          </w:tcPr>
          <w:p w14:paraId="4ABB2A1E">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4</w:t>
            </w:r>
          </w:p>
        </w:tc>
      </w:tr>
      <w:tr w14:paraId="13B84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3" w:type="dxa"/>
            <w:vMerge w:val="continue"/>
            <w:noWrap w:val="0"/>
            <w:vAlign w:val="center"/>
          </w:tcPr>
          <w:p w14:paraId="2E8CAAF7">
            <w:pPr>
              <w:spacing w:before="20" w:after="20" w:line="300" w:lineRule="auto"/>
              <w:jc w:val="center"/>
              <w:rPr>
                <w:rFonts w:hint="eastAsia" w:ascii="宋体" w:hAnsi="宋体" w:eastAsia="宋体"/>
                <w:b/>
                <w:bCs/>
                <w:sz w:val="21"/>
                <w:szCs w:val="21"/>
              </w:rPr>
            </w:pPr>
          </w:p>
        </w:tc>
        <w:tc>
          <w:tcPr>
            <w:tcW w:w="7039" w:type="dxa"/>
            <w:noWrap w:val="0"/>
            <w:vAlign w:val="center"/>
          </w:tcPr>
          <w:p w14:paraId="5BACC732">
            <w:pPr>
              <w:spacing w:before="20" w:after="20" w:line="300" w:lineRule="auto"/>
              <w:rPr>
                <w:rFonts w:hint="eastAsia" w:ascii="宋体" w:hAnsi="宋体" w:eastAsia="宋体"/>
                <w:b/>
                <w:bCs/>
                <w:sz w:val="21"/>
                <w:szCs w:val="21"/>
              </w:rPr>
            </w:pPr>
            <w:r>
              <w:rPr>
                <w:rFonts w:ascii="宋体" w:hAnsi="宋体" w:eastAsia="宋体"/>
                <w:b/>
                <w:bCs/>
                <w:sz w:val="21"/>
                <w:szCs w:val="21"/>
              </w:rPr>
              <w:t>2年以上</w:t>
            </w:r>
          </w:p>
        </w:tc>
        <w:tc>
          <w:tcPr>
            <w:tcW w:w="1040" w:type="dxa"/>
            <w:noWrap w:val="0"/>
            <w:vAlign w:val="center"/>
          </w:tcPr>
          <w:p w14:paraId="6E6D863F">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5</w:t>
            </w:r>
          </w:p>
        </w:tc>
      </w:tr>
      <w:tr w14:paraId="0BD68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3" w:type="dxa"/>
            <w:vMerge w:val="restart"/>
            <w:noWrap w:val="0"/>
            <w:vAlign w:val="center"/>
          </w:tcPr>
          <w:p w14:paraId="5E87E456">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违法所得金额</w:t>
            </w:r>
          </w:p>
        </w:tc>
        <w:tc>
          <w:tcPr>
            <w:tcW w:w="7039" w:type="dxa"/>
            <w:noWrap w:val="0"/>
            <w:vAlign w:val="center"/>
          </w:tcPr>
          <w:p w14:paraId="7F4FFFB6">
            <w:pPr>
              <w:spacing w:before="20" w:after="20" w:line="300" w:lineRule="auto"/>
              <w:rPr>
                <w:rFonts w:hint="eastAsia" w:ascii="宋体" w:hAnsi="宋体" w:eastAsia="宋体"/>
                <w:b/>
                <w:bCs/>
                <w:sz w:val="21"/>
                <w:szCs w:val="21"/>
              </w:rPr>
            </w:pPr>
            <w:r>
              <w:rPr>
                <w:rFonts w:hint="eastAsia" w:ascii="宋体" w:hAnsi="宋体" w:eastAsia="宋体"/>
                <w:b/>
                <w:bCs/>
                <w:sz w:val="21"/>
              </w:rPr>
              <w:t>不足20万元</w:t>
            </w:r>
          </w:p>
        </w:tc>
        <w:tc>
          <w:tcPr>
            <w:tcW w:w="1040" w:type="dxa"/>
            <w:noWrap w:val="0"/>
            <w:vAlign w:val="center"/>
          </w:tcPr>
          <w:p w14:paraId="5055E671">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1</w:t>
            </w:r>
          </w:p>
        </w:tc>
      </w:tr>
      <w:tr w14:paraId="5FDBE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3" w:type="dxa"/>
            <w:vMerge w:val="continue"/>
            <w:noWrap w:val="0"/>
            <w:vAlign w:val="center"/>
          </w:tcPr>
          <w:p w14:paraId="66284693">
            <w:pPr>
              <w:spacing w:before="20" w:after="20" w:line="300" w:lineRule="auto"/>
              <w:jc w:val="center"/>
              <w:rPr>
                <w:rFonts w:hint="eastAsia" w:ascii="宋体" w:hAnsi="宋体" w:eastAsia="宋体"/>
                <w:b/>
                <w:bCs/>
                <w:sz w:val="21"/>
                <w:szCs w:val="21"/>
              </w:rPr>
            </w:pPr>
          </w:p>
        </w:tc>
        <w:tc>
          <w:tcPr>
            <w:tcW w:w="7039" w:type="dxa"/>
            <w:noWrap w:val="0"/>
            <w:vAlign w:val="center"/>
          </w:tcPr>
          <w:p w14:paraId="1F43B696">
            <w:pPr>
              <w:spacing w:before="20" w:after="20" w:line="300" w:lineRule="auto"/>
              <w:rPr>
                <w:rFonts w:hint="eastAsia" w:ascii="宋体" w:hAnsi="宋体" w:eastAsia="宋体"/>
                <w:b/>
                <w:bCs/>
                <w:sz w:val="21"/>
                <w:szCs w:val="21"/>
              </w:rPr>
            </w:pPr>
            <w:r>
              <w:rPr>
                <w:rFonts w:hint="eastAsia" w:ascii="宋体" w:hAnsi="宋体" w:eastAsia="宋体"/>
                <w:b/>
                <w:bCs/>
                <w:sz w:val="21"/>
              </w:rPr>
              <w:t>20万元以上，不足50万元</w:t>
            </w:r>
          </w:p>
        </w:tc>
        <w:tc>
          <w:tcPr>
            <w:tcW w:w="1040" w:type="dxa"/>
            <w:noWrap w:val="0"/>
            <w:vAlign w:val="center"/>
          </w:tcPr>
          <w:p w14:paraId="102B77AC">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2</w:t>
            </w:r>
          </w:p>
        </w:tc>
      </w:tr>
      <w:tr w14:paraId="49A8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3" w:type="dxa"/>
            <w:vMerge w:val="continue"/>
            <w:noWrap w:val="0"/>
            <w:vAlign w:val="center"/>
          </w:tcPr>
          <w:p w14:paraId="1740E466">
            <w:pPr>
              <w:spacing w:before="20" w:after="20" w:line="300" w:lineRule="auto"/>
              <w:jc w:val="center"/>
              <w:rPr>
                <w:rFonts w:hint="eastAsia" w:ascii="宋体" w:hAnsi="宋体" w:eastAsia="宋体"/>
                <w:b/>
                <w:bCs/>
                <w:sz w:val="21"/>
                <w:szCs w:val="21"/>
              </w:rPr>
            </w:pPr>
          </w:p>
        </w:tc>
        <w:tc>
          <w:tcPr>
            <w:tcW w:w="7039" w:type="dxa"/>
            <w:noWrap w:val="0"/>
            <w:vAlign w:val="center"/>
          </w:tcPr>
          <w:p w14:paraId="7204642D">
            <w:pPr>
              <w:spacing w:before="20" w:after="20" w:line="300" w:lineRule="auto"/>
              <w:rPr>
                <w:rFonts w:hint="eastAsia" w:ascii="宋体" w:hAnsi="宋体" w:eastAsia="宋体"/>
                <w:b/>
                <w:bCs/>
                <w:sz w:val="21"/>
                <w:szCs w:val="21"/>
              </w:rPr>
            </w:pPr>
            <w:r>
              <w:rPr>
                <w:rFonts w:hint="eastAsia" w:ascii="宋体" w:hAnsi="宋体" w:eastAsia="宋体"/>
                <w:b/>
                <w:bCs/>
                <w:sz w:val="21"/>
              </w:rPr>
              <w:t>50万元以上，不足100万元</w:t>
            </w:r>
          </w:p>
        </w:tc>
        <w:tc>
          <w:tcPr>
            <w:tcW w:w="1040" w:type="dxa"/>
            <w:noWrap w:val="0"/>
            <w:vAlign w:val="center"/>
          </w:tcPr>
          <w:p w14:paraId="7D7D88D1">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3</w:t>
            </w:r>
          </w:p>
        </w:tc>
      </w:tr>
      <w:tr w14:paraId="4A665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3" w:type="dxa"/>
            <w:vMerge w:val="continue"/>
            <w:noWrap w:val="0"/>
            <w:vAlign w:val="center"/>
          </w:tcPr>
          <w:p w14:paraId="6FB1E2FB">
            <w:pPr>
              <w:spacing w:before="20" w:after="20" w:line="300" w:lineRule="auto"/>
              <w:jc w:val="center"/>
              <w:rPr>
                <w:rFonts w:hint="eastAsia" w:ascii="宋体" w:hAnsi="宋体" w:eastAsia="宋体"/>
                <w:b/>
                <w:bCs/>
                <w:sz w:val="21"/>
                <w:szCs w:val="21"/>
              </w:rPr>
            </w:pPr>
          </w:p>
        </w:tc>
        <w:tc>
          <w:tcPr>
            <w:tcW w:w="7039" w:type="dxa"/>
            <w:noWrap w:val="0"/>
            <w:vAlign w:val="center"/>
          </w:tcPr>
          <w:p w14:paraId="0DD29960">
            <w:pPr>
              <w:spacing w:before="20" w:after="20" w:line="300" w:lineRule="auto"/>
              <w:rPr>
                <w:rFonts w:hint="eastAsia" w:ascii="宋体" w:hAnsi="宋体" w:eastAsia="宋体"/>
                <w:b/>
                <w:bCs/>
                <w:sz w:val="21"/>
                <w:szCs w:val="21"/>
              </w:rPr>
            </w:pPr>
            <w:r>
              <w:rPr>
                <w:rFonts w:hint="eastAsia" w:ascii="宋体" w:hAnsi="宋体" w:eastAsia="宋体"/>
                <w:b/>
                <w:bCs/>
                <w:sz w:val="21"/>
              </w:rPr>
              <w:t>100万元以上，不足500万元</w:t>
            </w:r>
          </w:p>
        </w:tc>
        <w:tc>
          <w:tcPr>
            <w:tcW w:w="1040" w:type="dxa"/>
            <w:noWrap w:val="0"/>
            <w:vAlign w:val="center"/>
          </w:tcPr>
          <w:p w14:paraId="7F049F6D">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4</w:t>
            </w:r>
          </w:p>
        </w:tc>
      </w:tr>
      <w:tr w14:paraId="35BC4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93" w:type="dxa"/>
            <w:vMerge w:val="continue"/>
            <w:noWrap w:val="0"/>
            <w:vAlign w:val="center"/>
          </w:tcPr>
          <w:p w14:paraId="374C9CE2">
            <w:pPr>
              <w:spacing w:before="20" w:after="20" w:line="300" w:lineRule="auto"/>
              <w:jc w:val="center"/>
              <w:rPr>
                <w:rFonts w:hint="eastAsia" w:ascii="宋体" w:hAnsi="宋体" w:eastAsia="宋体"/>
                <w:b/>
                <w:bCs/>
                <w:sz w:val="21"/>
                <w:szCs w:val="21"/>
              </w:rPr>
            </w:pPr>
          </w:p>
        </w:tc>
        <w:tc>
          <w:tcPr>
            <w:tcW w:w="7039" w:type="dxa"/>
            <w:noWrap w:val="0"/>
            <w:vAlign w:val="center"/>
          </w:tcPr>
          <w:p w14:paraId="6F9A4E6F">
            <w:pPr>
              <w:spacing w:before="20" w:after="20" w:line="300" w:lineRule="auto"/>
              <w:rPr>
                <w:rFonts w:hint="eastAsia" w:ascii="宋体" w:hAnsi="宋体" w:eastAsia="宋体"/>
                <w:b/>
                <w:bCs/>
                <w:sz w:val="21"/>
                <w:szCs w:val="21"/>
              </w:rPr>
            </w:pPr>
            <w:r>
              <w:rPr>
                <w:rFonts w:hint="eastAsia" w:ascii="宋体" w:hAnsi="宋体" w:eastAsia="宋体"/>
                <w:b/>
                <w:bCs/>
                <w:sz w:val="21"/>
              </w:rPr>
              <w:t>500万元以上</w:t>
            </w:r>
          </w:p>
        </w:tc>
        <w:tc>
          <w:tcPr>
            <w:tcW w:w="1040" w:type="dxa"/>
            <w:noWrap w:val="0"/>
            <w:vAlign w:val="center"/>
          </w:tcPr>
          <w:p w14:paraId="25C91E55">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5</w:t>
            </w:r>
          </w:p>
        </w:tc>
      </w:tr>
    </w:tbl>
    <w:p w14:paraId="041581EA">
      <w:pPr>
        <w:spacing w:before="40" w:after="40" w:line="400" w:lineRule="auto"/>
        <w:jc w:val="both"/>
        <w:rPr>
          <w:rFonts w:hint="eastAsia"/>
          <w:b/>
          <w:bCs/>
        </w:rPr>
      </w:pPr>
      <w:r>
        <w:rPr>
          <w:rFonts w:hint="eastAsia"/>
          <w:b/>
          <w:bCs/>
        </w:rPr>
        <w:t>6.</w:t>
      </w:r>
      <w:r>
        <w:rPr>
          <w:b/>
          <w:bCs/>
        </w:rPr>
        <w:t>消耗臭氧层物质的生产、使用单位未按照规定采取必要的措施防止或者减少消耗臭氧层物质的泄漏和排放的行为</w:t>
      </w:r>
      <w:r>
        <w:rPr>
          <w:rFonts w:hint="eastAsia" w:ascii="Times New Roman" w:hAnsi="Times New Roman" w:eastAsia="黑体"/>
          <w:b/>
          <w:bCs/>
          <w:sz w:val="24"/>
          <w:lang w:eastAsia="zh-CN"/>
        </w:rPr>
        <w:t>（新增）</w:t>
      </w:r>
    </w:p>
    <w:tbl>
      <w:tblPr>
        <w:tblStyle w:val="8"/>
        <w:tblW w:w="9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88"/>
        <w:gridCol w:w="7087"/>
        <w:gridCol w:w="1021"/>
      </w:tblGrid>
      <w:tr w14:paraId="0943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noWrap w:val="0"/>
            <w:vAlign w:val="center"/>
          </w:tcPr>
          <w:p w14:paraId="7AA245A1">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违反条款</w:t>
            </w:r>
          </w:p>
        </w:tc>
        <w:tc>
          <w:tcPr>
            <w:tcW w:w="8108" w:type="dxa"/>
            <w:gridSpan w:val="2"/>
            <w:noWrap w:val="0"/>
            <w:vAlign w:val="center"/>
          </w:tcPr>
          <w:p w14:paraId="19985BCC">
            <w:pPr>
              <w:spacing w:before="20" w:after="20" w:line="300" w:lineRule="auto"/>
              <w:rPr>
                <w:rFonts w:hint="eastAsia" w:ascii="宋体" w:hAnsi="宋体" w:eastAsia="宋体"/>
                <w:b/>
                <w:bCs/>
              </w:rPr>
            </w:pPr>
            <w:r>
              <w:rPr>
                <w:rFonts w:ascii="宋体" w:hAnsi="宋体" w:eastAsia="宋体"/>
                <w:b/>
                <w:bCs/>
                <w:sz w:val="21"/>
                <w:szCs w:val="21"/>
              </w:rPr>
              <w:t>《消耗臭氧层物质管理条例》（2026修订版）第十九条第一款</w:t>
            </w:r>
            <w:r>
              <w:rPr>
                <w:rFonts w:hint="eastAsia" w:ascii="宋体" w:hAnsi="宋体" w:eastAsia="宋体"/>
                <w:b/>
                <w:bCs/>
                <w:sz w:val="21"/>
                <w:szCs w:val="21"/>
              </w:rPr>
              <w:t xml:space="preserve"> </w:t>
            </w:r>
            <w:r>
              <w:rPr>
                <w:rFonts w:ascii="宋体" w:hAnsi="宋体" w:eastAsia="宋体"/>
                <w:b/>
                <w:bCs/>
                <w:sz w:val="21"/>
                <w:szCs w:val="21"/>
              </w:rPr>
              <w:t>消耗臭氧层物质的生产、使用单位，应当按照国务院生态环境主管部门的规定采取必要的措施，防止或者减少消耗臭氧层物质的泄漏和排放。</w:t>
            </w:r>
          </w:p>
        </w:tc>
      </w:tr>
      <w:tr w14:paraId="54C6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noWrap w:val="0"/>
            <w:vAlign w:val="center"/>
          </w:tcPr>
          <w:p w14:paraId="01A01386">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处罚依据</w:t>
            </w:r>
          </w:p>
        </w:tc>
        <w:tc>
          <w:tcPr>
            <w:tcW w:w="8108" w:type="dxa"/>
            <w:gridSpan w:val="2"/>
            <w:noWrap w:val="0"/>
            <w:vAlign w:val="center"/>
          </w:tcPr>
          <w:p w14:paraId="30C003A8">
            <w:pPr>
              <w:spacing w:before="20" w:after="20" w:line="300" w:lineRule="auto"/>
              <w:rPr>
                <w:rFonts w:hint="eastAsia" w:ascii="宋体" w:hAnsi="宋体" w:eastAsia="宋体"/>
                <w:b/>
                <w:bCs/>
              </w:rPr>
            </w:pPr>
            <w:r>
              <w:rPr>
                <w:rFonts w:ascii="宋体" w:hAnsi="宋体" w:eastAsia="宋体"/>
                <w:b/>
                <w:bCs/>
                <w:sz w:val="21"/>
                <w:szCs w:val="21"/>
              </w:rPr>
              <w:t>《消耗臭氧层物质管理条例》（2026修订版）第三十四条</w:t>
            </w:r>
            <w:r>
              <w:rPr>
                <w:rFonts w:hint="eastAsia" w:ascii="宋体" w:hAnsi="宋体" w:eastAsia="宋体"/>
                <w:b/>
                <w:bCs/>
                <w:sz w:val="21"/>
                <w:szCs w:val="21"/>
              </w:rPr>
              <w:t xml:space="preserve"> </w:t>
            </w:r>
            <w:r>
              <w:rPr>
                <w:rFonts w:ascii="宋体" w:hAnsi="宋体" w:eastAsia="宋体"/>
                <w:b/>
                <w:bCs/>
                <w:sz w:val="21"/>
                <w:szCs w:val="21"/>
              </w:rPr>
              <w:t>消耗臭氧层物质的生产、使用单位未按照规定采取必要的措施防止或者减少消耗臭氧层物质的泄漏和排放的，由所在地生态环境主管部门责令改正，处5万元以上10万元以下的罚款；拒不改正的，处10万元以上50万元以下的罚款，报国务院生态环境主管部门核减其生产、使用配额数量。</w:t>
            </w:r>
          </w:p>
        </w:tc>
      </w:tr>
      <w:tr w14:paraId="00F39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noWrap w:val="0"/>
            <w:vAlign w:val="center"/>
          </w:tcPr>
          <w:p w14:paraId="6868AD5B">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裁量因素</w:t>
            </w:r>
          </w:p>
        </w:tc>
        <w:tc>
          <w:tcPr>
            <w:tcW w:w="7087" w:type="dxa"/>
            <w:noWrap w:val="0"/>
            <w:vAlign w:val="center"/>
          </w:tcPr>
          <w:p w14:paraId="44B7E8F9">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裁量因子</w:t>
            </w:r>
          </w:p>
        </w:tc>
        <w:tc>
          <w:tcPr>
            <w:tcW w:w="1021" w:type="dxa"/>
            <w:noWrap w:val="0"/>
            <w:vAlign w:val="center"/>
          </w:tcPr>
          <w:p w14:paraId="6D3BC58B">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裁量等级</w:t>
            </w:r>
          </w:p>
        </w:tc>
      </w:tr>
      <w:tr w14:paraId="55101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restart"/>
            <w:noWrap w:val="0"/>
            <w:vAlign w:val="center"/>
          </w:tcPr>
          <w:p w14:paraId="293F7534">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违法</w:t>
            </w:r>
            <w:r>
              <w:rPr>
                <w:rFonts w:hint="eastAsia" w:ascii="宋体" w:hAnsi="宋体" w:eastAsia="宋体"/>
                <w:b/>
                <w:bCs/>
                <w:sz w:val="21"/>
                <w:szCs w:val="21"/>
              </w:rPr>
              <w:t>事实</w:t>
            </w:r>
          </w:p>
        </w:tc>
        <w:tc>
          <w:tcPr>
            <w:tcW w:w="7087" w:type="dxa"/>
            <w:noWrap w:val="0"/>
            <w:vAlign w:val="center"/>
          </w:tcPr>
          <w:p w14:paraId="2C1D8C21">
            <w:pPr>
              <w:spacing w:before="20" w:after="20" w:line="300" w:lineRule="auto"/>
              <w:rPr>
                <w:rFonts w:hint="eastAsia" w:ascii="宋体" w:hAnsi="宋体" w:eastAsia="宋体"/>
                <w:b/>
                <w:bCs/>
              </w:rPr>
            </w:pPr>
            <w:r>
              <w:rPr>
                <w:rFonts w:ascii="宋体" w:hAnsi="宋体" w:eastAsia="宋体"/>
                <w:b/>
                <w:bCs/>
                <w:sz w:val="21"/>
                <w:szCs w:val="21"/>
              </w:rPr>
              <w:t>已采取部分措施但不符合规定</w:t>
            </w:r>
          </w:p>
        </w:tc>
        <w:tc>
          <w:tcPr>
            <w:tcW w:w="1021" w:type="dxa"/>
            <w:noWrap w:val="0"/>
            <w:vAlign w:val="center"/>
          </w:tcPr>
          <w:p w14:paraId="3AC28A55">
            <w:pPr>
              <w:spacing w:before="20" w:after="20" w:line="300" w:lineRule="auto"/>
              <w:jc w:val="center"/>
              <w:rPr>
                <w:rFonts w:hint="eastAsia" w:ascii="宋体" w:hAnsi="宋体" w:eastAsia="宋体"/>
                <w:b/>
                <w:bCs/>
              </w:rPr>
            </w:pPr>
            <w:r>
              <w:rPr>
                <w:rFonts w:hint="eastAsia" w:ascii="宋体" w:hAnsi="宋体" w:eastAsia="宋体"/>
                <w:b/>
                <w:bCs/>
                <w:sz w:val="21"/>
                <w:szCs w:val="21"/>
              </w:rPr>
              <w:t>3</w:t>
            </w:r>
          </w:p>
        </w:tc>
      </w:tr>
      <w:tr w14:paraId="31C0A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66C12315">
            <w:pPr>
              <w:spacing w:before="20" w:after="20" w:line="300" w:lineRule="auto"/>
              <w:jc w:val="center"/>
              <w:rPr>
                <w:rFonts w:hint="eastAsia" w:ascii="宋体" w:hAnsi="宋体" w:eastAsia="宋体"/>
                <w:b/>
                <w:bCs/>
                <w:sz w:val="21"/>
                <w:szCs w:val="21"/>
              </w:rPr>
            </w:pPr>
          </w:p>
        </w:tc>
        <w:tc>
          <w:tcPr>
            <w:tcW w:w="7087" w:type="dxa"/>
            <w:noWrap w:val="0"/>
            <w:vAlign w:val="center"/>
          </w:tcPr>
          <w:p w14:paraId="09BFCFEB">
            <w:pPr>
              <w:spacing w:before="20" w:after="20" w:line="300" w:lineRule="auto"/>
              <w:rPr>
                <w:rFonts w:hint="eastAsia" w:ascii="宋体" w:hAnsi="宋体" w:eastAsia="宋体"/>
                <w:b/>
                <w:bCs/>
              </w:rPr>
            </w:pPr>
            <w:r>
              <w:rPr>
                <w:rFonts w:ascii="宋体" w:hAnsi="宋体" w:eastAsia="宋体"/>
                <w:b/>
                <w:bCs/>
                <w:sz w:val="21"/>
                <w:szCs w:val="21"/>
              </w:rPr>
              <w:t>未采取措施</w:t>
            </w:r>
          </w:p>
        </w:tc>
        <w:tc>
          <w:tcPr>
            <w:tcW w:w="1021" w:type="dxa"/>
            <w:noWrap w:val="0"/>
            <w:vAlign w:val="center"/>
          </w:tcPr>
          <w:p w14:paraId="6F94CFCA">
            <w:pPr>
              <w:spacing w:before="20" w:after="20" w:line="300" w:lineRule="auto"/>
              <w:jc w:val="center"/>
              <w:rPr>
                <w:rFonts w:hint="eastAsia" w:ascii="宋体" w:hAnsi="宋体" w:eastAsia="宋体"/>
                <w:b/>
                <w:bCs/>
              </w:rPr>
            </w:pPr>
            <w:r>
              <w:rPr>
                <w:rFonts w:hint="eastAsia" w:ascii="宋体" w:hAnsi="宋体" w:eastAsia="宋体"/>
                <w:b/>
                <w:bCs/>
                <w:sz w:val="21"/>
                <w:szCs w:val="21"/>
              </w:rPr>
              <w:t>5</w:t>
            </w:r>
          </w:p>
        </w:tc>
      </w:tr>
      <w:tr w14:paraId="14E4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restart"/>
            <w:noWrap w:val="0"/>
            <w:vAlign w:val="center"/>
          </w:tcPr>
          <w:p w14:paraId="75529D41">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消耗臭氧层物质种类</w:t>
            </w:r>
          </w:p>
        </w:tc>
        <w:tc>
          <w:tcPr>
            <w:tcW w:w="7087" w:type="dxa"/>
            <w:noWrap w:val="0"/>
            <w:vAlign w:val="center"/>
          </w:tcPr>
          <w:p w14:paraId="5B9DBA5A">
            <w:pPr>
              <w:spacing w:before="20" w:after="20" w:line="300" w:lineRule="auto"/>
              <w:rPr>
                <w:rFonts w:hint="eastAsia" w:ascii="宋体" w:hAnsi="宋体" w:eastAsia="宋体"/>
                <w:b/>
                <w:bCs/>
              </w:rPr>
            </w:pPr>
            <w:r>
              <w:rPr>
                <w:rFonts w:ascii="宋体" w:hAnsi="宋体" w:eastAsia="宋体"/>
                <w:b/>
                <w:bCs/>
                <w:sz w:val="21"/>
                <w:szCs w:val="21"/>
              </w:rPr>
              <w:t>允许使用类物质</w:t>
            </w:r>
          </w:p>
        </w:tc>
        <w:tc>
          <w:tcPr>
            <w:tcW w:w="1021" w:type="dxa"/>
            <w:noWrap w:val="0"/>
            <w:vAlign w:val="center"/>
          </w:tcPr>
          <w:p w14:paraId="51DBB043">
            <w:pPr>
              <w:spacing w:before="20" w:after="20" w:line="300" w:lineRule="auto"/>
              <w:jc w:val="center"/>
              <w:rPr>
                <w:rFonts w:hint="eastAsia" w:ascii="宋体" w:hAnsi="宋体" w:eastAsia="宋体"/>
                <w:b/>
                <w:bCs/>
              </w:rPr>
            </w:pPr>
            <w:r>
              <w:rPr>
                <w:rFonts w:ascii="宋体" w:hAnsi="宋体" w:eastAsia="宋体"/>
                <w:b/>
                <w:bCs/>
                <w:sz w:val="21"/>
                <w:szCs w:val="21"/>
              </w:rPr>
              <w:t>1</w:t>
            </w:r>
          </w:p>
        </w:tc>
      </w:tr>
      <w:tr w14:paraId="62BD6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4390FF19">
            <w:pPr>
              <w:spacing w:before="20" w:after="20" w:line="300" w:lineRule="auto"/>
              <w:jc w:val="center"/>
              <w:rPr>
                <w:rFonts w:hint="eastAsia" w:ascii="宋体" w:hAnsi="宋体" w:eastAsia="宋体"/>
                <w:b/>
                <w:bCs/>
                <w:sz w:val="21"/>
                <w:szCs w:val="21"/>
              </w:rPr>
            </w:pPr>
          </w:p>
        </w:tc>
        <w:tc>
          <w:tcPr>
            <w:tcW w:w="7087" w:type="dxa"/>
            <w:noWrap w:val="0"/>
            <w:vAlign w:val="center"/>
          </w:tcPr>
          <w:p w14:paraId="4A711C04">
            <w:pPr>
              <w:spacing w:before="20" w:after="20" w:line="300" w:lineRule="auto"/>
              <w:rPr>
                <w:rFonts w:hint="eastAsia" w:ascii="宋体" w:hAnsi="宋体" w:eastAsia="宋体"/>
                <w:b/>
                <w:bCs/>
              </w:rPr>
            </w:pPr>
            <w:r>
              <w:rPr>
                <w:rFonts w:ascii="宋体" w:hAnsi="宋体" w:eastAsia="宋体"/>
                <w:b/>
                <w:bCs/>
                <w:sz w:val="21"/>
                <w:szCs w:val="21"/>
              </w:rPr>
              <w:t>过度性使用类物质</w:t>
            </w:r>
          </w:p>
        </w:tc>
        <w:tc>
          <w:tcPr>
            <w:tcW w:w="1021" w:type="dxa"/>
            <w:noWrap w:val="0"/>
            <w:vAlign w:val="center"/>
          </w:tcPr>
          <w:p w14:paraId="453BD52F">
            <w:pPr>
              <w:spacing w:before="20" w:after="20" w:line="300" w:lineRule="auto"/>
              <w:jc w:val="center"/>
              <w:rPr>
                <w:rFonts w:hint="eastAsia" w:ascii="宋体" w:hAnsi="宋体" w:eastAsia="宋体"/>
                <w:b/>
                <w:bCs/>
              </w:rPr>
            </w:pPr>
            <w:r>
              <w:rPr>
                <w:rFonts w:ascii="宋体" w:hAnsi="宋体" w:eastAsia="宋体"/>
                <w:b/>
                <w:bCs/>
                <w:sz w:val="21"/>
                <w:szCs w:val="21"/>
              </w:rPr>
              <w:t>3</w:t>
            </w:r>
          </w:p>
        </w:tc>
      </w:tr>
      <w:tr w14:paraId="1A93F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705F05B2">
            <w:pPr>
              <w:spacing w:before="20" w:after="20" w:line="300" w:lineRule="auto"/>
              <w:jc w:val="center"/>
              <w:rPr>
                <w:rFonts w:hint="eastAsia" w:ascii="宋体" w:hAnsi="宋体" w:eastAsia="宋体"/>
                <w:b/>
                <w:bCs/>
                <w:sz w:val="21"/>
                <w:szCs w:val="21"/>
              </w:rPr>
            </w:pPr>
          </w:p>
        </w:tc>
        <w:tc>
          <w:tcPr>
            <w:tcW w:w="7087" w:type="dxa"/>
            <w:noWrap w:val="0"/>
            <w:vAlign w:val="center"/>
          </w:tcPr>
          <w:p w14:paraId="65AE3940">
            <w:pPr>
              <w:spacing w:before="20" w:after="20" w:line="300" w:lineRule="auto"/>
              <w:rPr>
                <w:rFonts w:hint="eastAsia" w:ascii="宋体" w:hAnsi="宋体" w:eastAsia="宋体"/>
                <w:b/>
                <w:bCs/>
              </w:rPr>
            </w:pPr>
            <w:r>
              <w:rPr>
                <w:rFonts w:ascii="宋体" w:hAnsi="宋体" w:eastAsia="宋体"/>
                <w:b/>
                <w:bCs/>
                <w:sz w:val="21"/>
                <w:szCs w:val="21"/>
              </w:rPr>
              <w:t>禁止使用类物质</w:t>
            </w:r>
          </w:p>
        </w:tc>
        <w:tc>
          <w:tcPr>
            <w:tcW w:w="1021" w:type="dxa"/>
            <w:noWrap w:val="0"/>
            <w:vAlign w:val="center"/>
          </w:tcPr>
          <w:p w14:paraId="4AEA0E72">
            <w:pPr>
              <w:spacing w:before="20" w:after="20" w:line="300" w:lineRule="auto"/>
              <w:jc w:val="center"/>
              <w:rPr>
                <w:rFonts w:hint="eastAsia" w:ascii="宋体" w:hAnsi="宋体" w:eastAsia="宋体"/>
                <w:b/>
                <w:bCs/>
              </w:rPr>
            </w:pPr>
            <w:r>
              <w:rPr>
                <w:rFonts w:ascii="宋体" w:hAnsi="宋体" w:eastAsia="宋体"/>
                <w:b/>
                <w:bCs/>
                <w:sz w:val="21"/>
                <w:szCs w:val="21"/>
              </w:rPr>
              <w:t>5</w:t>
            </w:r>
          </w:p>
        </w:tc>
      </w:tr>
      <w:tr w14:paraId="7A81E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restart"/>
            <w:noWrap w:val="0"/>
            <w:vAlign w:val="center"/>
          </w:tcPr>
          <w:p w14:paraId="61DD20CC">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违法行为</w:t>
            </w:r>
          </w:p>
          <w:p w14:paraId="68B11D71">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持续时间</w:t>
            </w:r>
          </w:p>
        </w:tc>
        <w:tc>
          <w:tcPr>
            <w:tcW w:w="7087" w:type="dxa"/>
            <w:noWrap w:val="0"/>
            <w:vAlign w:val="center"/>
          </w:tcPr>
          <w:p w14:paraId="52E9A599">
            <w:pPr>
              <w:spacing w:before="20" w:after="20" w:line="300" w:lineRule="auto"/>
              <w:rPr>
                <w:rFonts w:hint="eastAsia" w:ascii="宋体" w:hAnsi="宋体" w:eastAsia="宋体"/>
                <w:b/>
                <w:bCs/>
                <w:sz w:val="21"/>
                <w:szCs w:val="21"/>
              </w:rPr>
            </w:pPr>
            <w:r>
              <w:rPr>
                <w:rFonts w:hint="eastAsia" w:ascii="Times New Roman" w:hAnsi="Times New Roman"/>
                <w:b/>
                <w:bCs/>
              </w:rPr>
              <w:t>不足</w:t>
            </w:r>
            <w:r>
              <w:rPr>
                <w:rFonts w:ascii="Times New Roman" w:hAnsi="Times New Roman"/>
                <w:b/>
                <w:bCs/>
              </w:rPr>
              <w:t>1个月</w:t>
            </w:r>
          </w:p>
        </w:tc>
        <w:tc>
          <w:tcPr>
            <w:tcW w:w="1021" w:type="dxa"/>
            <w:noWrap w:val="0"/>
            <w:vAlign w:val="center"/>
          </w:tcPr>
          <w:p w14:paraId="1D57D127">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1</w:t>
            </w:r>
          </w:p>
        </w:tc>
      </w:tr>
      <w:tr w14:paraId="4AAFF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4484FDF2">
            <w:pPr>
              <w:spacing w:before="20" w:after="20" w:line="300" w:lineRule="auto"/>
              <w:jc w:val="center"/>
              <w:rPr>
                <w:rFonts w:hint="eastAsia" w:ascii="宋体" w:hAnsi="宋体" w:eastAsia="宋体"/>
                <w:b/>
                <w:bCs/>
                <w:sz w:val="21"/>
                <w:szCs w:val="21"/>
              </w:rPr>
            </w:pPr>
          </w:p>
        </w:tc>
        <w:tc>
          <w:tcPr>
            <w:tcW w:w="7087" w:type="dxa"/>
            <w:noWrap w:val="0"/>
            <w:vAlign w:val="center"/>
          </w:tcPr>
          <w:p w14:paraId="009BA24A">
            <w:pPr>
              <w:spacing w:before="20" w:after="20" w:line="300" w:lineRule="auto"/>
              <w:rPr>
                <w:rFonts w:hint="eastAsia" w:ascii="宋体" w:hAnsi="宋体" w:eastAsia="宋体"/>
                <w:b/>
                <w:bCs/>
                <w:sz w:val="21"/>
                <w:szCs w:val="21"/>
              </w:rPr>
            </w:pPr>
            <w:r>
              <w:rPr>
                <w:rFonts w:ascii="Times New Roman" w:hAnsi="Times New Roman"/>
                <w:b/>
                <w:bCs/>
              </w:rPr>
              <w:t>1个月以上</w:t>
            </w:r>
            <w:r>
              <w:rPr>
                <w:rFonts w:hint="eastAsia" w:ascii="Times New Roman" w:hAnsi="Times New Roman"/>
                <w:b/>
                <w:bCs/>
              </w:rPr>
              <w:t>不足</w:t>
            </w:r>
            <w:r>
              <w:rPr>
                <w:rFonts w:ascii="Times New Roman" w:hAnsi="Times New Roman"/>
                <w:b/>
                <w:bCs/>
              </w:rPr>
              <w:t>3个月</w:t>
            </w:r>
          </w:p>
        </w:tc>
        <w:tc>
          <w:tcPr>
            <w:tcW w:w="1021" w:type="dxa"/>
            <w:noWrap w:val="0"/>
            <w:vAlign w:val="center"/>
          </w:tcPr>
          <w:p w14:paraId="503104CC">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2</w:t>
            </w:r>
          </w:p>
        </w:tc>
      </w:tr>
      <w:tr w14:paraId="15BC2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4CD30DF7">
            <w:pPr>
              <w:spacing w:before="20" w:after="20" w:line="300" w:lineRule="auto"/>
              <w:jc w:val="center"/>
              <w:rPr>
                <w:rFonts w:hint="eastAsia" w:ascii="宋体" w:hAnsi="宋体" w:eastAsia="宋体"/>
                <w:b/>
                <w:bCs/>
                <w:sz w:val="21"/>
                <w:szCs w:val="21"/>
              </w:rPr>
            </w:pPr>
          </w:p>
        </w:tc>
        <w:tc>
          <w:tcPr>
            <w:tcW w:w="7087" w:type="dxa"/>
            <w:noWrap w:val="0"/>
            <w:vAlign w:val="center"/>
          </w:tcPr>
          <w:p w14:paraId="0827296F">
            <w:pPr>
              <w:spacing w:before="20" w:after="20" w:line="300" w:lineRule="auto"/>
              <w:rPr>
                <w:rFonts w:hint="eastAsia" w:ascii="宋体" w:hAnsi="宋体" w:eastAsia="宋体"/>
                <w:b/>
                <w:bCs/>
                <w:sz w:val="21"/>
                <w:szCs w:val="21"/>
              </w:rPr>
            </w:pPr>
            <w:r>
              <w:rPr>
                <w:rFonts w:ascii="Times New Roman" w:hAnsi="Times New Roman"/>
                <w:b/>
                <w:bCs/>
              </w:rPr>
              <w:t>3个月以上</w:t>
            </w:r>
            <w:r>
              <w:rPr>
                <w:rFonts w:hint="eastAsia" w:ascii="Times New Roman" w:hAnsi="Times New Roman"/>
                <w:b/>
                <w:bCs/>
              </w:rPr>
              <w:t>不足</w:t>
            </w:r>
            <w:r>
              <w:rPr>
                <w:rFonts w:ascii="Times New Roman" w:hAnsi="Times New Roman"/>
                <w:b/>
                <w:bCs/>
              </w:rPr>
              <w:t>6个月</w:t>
            </w:r>
          </w:p>
        </w:tc>
        <w:tc>
          <w:tcPr>
            <w:tcW w:w="1021" w:type="dxa"/>
            <w:noWrap w:val="0"/>
            <w:vAlign w:val="center"/>
          </w:tcPr>
          <w:p w14:paraId="0AEC42F9">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3</w:t>
            </w:r>
          </w:p>
        </w:tc>
      </w:tr>
      <w:tr w14:paraId="33A7D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24070E19">
            <w:pPr>
              <w:spacing w:before="20" w:after="20" w:line="300" w:lineRule="auto"/>
              <w:jc w:val="center"/>
              <w:rPr>
                <w:rFonts w:hint="eastAsia" w:ascii="宋体" w:hAnsi="宋体" w:eastAsia="宋体"/>
                <w:b/>
                <w:bCs/>
                <w:sz w:val="21"/>
                <w:szCs w:val="21"/>
              </w:rPr>
            </w:pPr>
          </w:p>
        </w:tc>
        <w:tc>
          <w:tcPr>
            <w:tcW w:w="7087" w:type="dxa"/>
            <w:noWrap w:val="0"/>
            <w:vAlign w:val="center"/>
          </w:tcPr>
          <w:p w14:paraId="52F68C18">
            <w:pPr>
              <w:spacing w:before="20" w:after="20" w:line="300" w:lineRule="auto"/>
              <w:rPr>
                <w:rFonts w:hint="eastAsia" w:ascii="宋体" w:hAnsi="宋体" w:eastAsia="宋体"/>
                <w:b/>
                <w:bCs/>
                <w:sz w:val="21"/>
                <w:szCs w:val="21"/>
              </w:rPr>
            </w:pPr>
            <w:r>
              <w:rPr>
                <w:rFonts w:ascii="Times New Roman" w:hAnsi="Times New Roman"/>
                <w:b/>
                <w:bCs/>
              </w:rPr>
              <w:t>6个月以上</w:t>
            </w:r>
            <w:r>
              <w:rPr>
                <w:rFonts w:hint="eastAsia" w:ascii="Times New Roman" w:hAnsi="Times New Roman"/>
                <w:b/>
                <w:bCs/>
              </w:rPr>
              <w:t>不足</w:t>
            </w:r>
            <w:r>
              <w:rPr>
                <w:rFonts w:ascii="Times New Roman" w:hAnsi="Times New Roman"/>
                <w:b/>
                <w:bCs/>
              </w:rPr>
              <w:t>1年</w:t>
            </w:r>
          </w:p>
        </w:tc>
        <w:tc>
          <w:tcPr>
            <w:tcW w:w="1021" w:type="dxa"/>
            <w:noWrap w:val="0"/>
            <w:vAlign w:val="center"/>
          </w:tcPr>
          <w:p w14:paraId="567E0CB5">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4</w:t>
            </w:r>
          </w:p>
        </w:tc>
      </w:tr>
      <w:tr w14:paraId="3B3A1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50A31A42">
            <w:pPr>
              <w:spacing w:before="20" w:after="20" w:line="300" w:lineRule="auto"/>
              <w:jc w:val="center"/>
              <w:rPr>
                <w:rFonts w:hint="eastAsia" w:ascii="宋体" w:hAnsi="宋体" w:eastAsia="宋体"/>
                <w:b/>
                <w:bCs/>
                <w:sz w:val="21"/>
                <w:szCs w:val="21"/>
              </w:rPr>
            </w:pPr>
          </w:p>
        </w:tc>
        <w:tc>
          <w:tcPr>
            <w:tcW w:w="7087" w:type="dxa"/>
            <w:noWrap w:val="0"/>
            <w:vAlign w:val="center"/>
          </w:tcPr>
          <w:p w14:paraId="20468062">
            <w:pPr>
              <w:spacing w:before="20" w:after="20" w:line="300" w:lineRule="auto"/>
              <w:rPr>
                <w:rFonts w:hint="eastAsia" w:ascii="宋体" w:hAnsi="宋体" w:eastAsia="宋体"/>
                <w:b/>
                <w:bCs/>
                <w:sz w:val="21"/>
                <w:szCs w:val="21"/>
              </w:rPr>
            </w:pPr>
            <w:r>
              <w:rPr>
                <w:rFonts w:ascii="Times New Roman" w:hAnsi="Times New Roman"/>
                <w:b/>
                <w:bCs/>
              </w:rPr>
              <w:t>1年以上</w:t>
            </w:r>
          </w:p>
        </w:tc>
        <w:tc>
          <w:tcPr>
            <w:tcW w:w="1021" w:type="dxa"/>
            <w:noWrap w:val="0"/>
            <w:vAlign w:val="center"/>
          </w:tcPr>
          <w:p w14:paraId="3A978A70">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5</w:t>
            </w:r>
          </w:p>
        </w:tc>
      </w:tr>
      <w:tr w14:paraId="37A0E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restart"/>
            <w:noWrap w:val="0"/>
            <w:vAlign w:val="center"/>
          </w:tcPr>
          <w:p w14:paraId="6DA3535B">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造成后果</w:t>
            </w:r>
          </w:p>
        </w:tc>
        <w:tc>
          <w:tcPr>
            <w:tcW w:w="7087" w:type="dxa"/>
            <w:noWrap w:val="0"/>
            <w:vAlign w:val="center"/>
          </w:tcPr>
          <w:p w14:paraId="1AF4949D">
            <w:pPr>
              <w:spacing w:before="20" w:after="20" w:line="300" w:lineRule="auto"/>
              <w:rPr>
                <w:rFonts w:hint="eastAsia" w:ascii="宋体" w:hAnsi="宋体" w:eastAsia="宋体"/>
                <w:b/>
                <w:bCs/>
              </w:rPr>
            </w:pPr>
            <w:r>
              <w:rPr>
                <w:rFonts w:ascii="宋体" w:hAnsi="宋体" w:eastAsia="宋体"/>
                <w:b/>
                <w:bCs/>
                <w:sz w:val="21"/>
                <w:szCs w:val="21"/>
              </w:rPr>
              <w:t>未造成明显泄漏、排放后果</w:t>
            </w:r>
          </w:p>
        </w:tc>
        <w:tc>
          <w:tcPr>
            <w:tcW w:w="1021" w:type="dxa"/>
            <w:noWrap w:val="0"/>
            <w:vAlign w:val="center"/>
          </w:tcPr>
          <w:p w14:paraId="3BD5FF2F">
            <w:pPr>
              <w:spacing w:before="20" w:after="20" w:line="300" w:lineRule="auto"/>
              <w:jc w:val="center"/>
              <w:rPr>
                <w:rFonts w:hint="eastAsia" w:ascii="宋体" w:hAnsi="宋体" w:eastAsia="宋体"/>
                <w:b/>
                <w:bCs/>
              </w:rPr>
            </w:pPr>
            <w:r>
              <w:rPr>
                <w:rFonts w:ascii="宋体" w:hAnsi="宋体" w:eastAsia="宋体"/>
                <w:b/>
                <w:bCs/>
                <w:sz w:val="21"/>
                <w:szCs w:val="21"/>
              </w:rPr>
              <w:t>1</w:t>
            </w:r>
          </w:p>
        </w:tc>
      </w:tr>
      <w:tr w14:paraId="6FCFD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3608B7B1">
            <w:pPr>
              <w:spacing w:before="20" w:after="20" w:line="300" w:lineRule="auto"/>
              <w:jc w:val="center"/>
              <w:rPr>
                <w:rFonts w:hint="eastAsia" w:ascii="宋体" w:hAnsi="宋体" w:eastAsia="宋体"/>
                <w:b/>
                <w:bCs/>
                <w:sz w:val="21"/>
                <w:szCs w:val="21"/>
              </w:rPr>
            </w:pPr>
          </w:p>
        </w:tc>
        <w:tc>
          <w:tcPr>
            <w:tcW w:w="7087" w:type="dxa"/>
            <w:noWrap w:val="0"/>
            <w:vAlign w:val="center"/>
          </w:tcPr>
          <w:p w14:paraId="0A047B03">
            <w:pPr>
              <w:spacing w:before="20" w:after="20" w:line="300" w:lineRule="auto"/>
              <w:rPr>
                <w:rFonts w:hint="eastAsia" w:ascii="宋体" w:hAnsi="宋体" w:eastAsia="宋体"/>
                <w:b/>
                <w:bCs/>
              </w:rPr>
            </w:pPr>
            <w:r>
              <w:rPr>
                <w:rFonts w:ascii="宋体" w:hAnsi="宋体" w:eastAsia="宋体"/>
                <w:b/>
                <w:bCs/>
                <w:sz w:val="21"/>
                <w:szCs w:val="21"/>
              </w:rPr>
              <w:t>造成一定环境影响</w:t>
            </w:r>
          </w:p>
        </w:tc>
        <w:tc>
          <w:tcPr>
            <w:tcW w:w="1021" w:type="dxa"/>
            <w:noWrap w:val="0"/>
            <w:vAlign w:val="center"/>
          </w:tcPr>
          <w:p w14:paraId="0ECDC7F1">
            <w:pPr>
              <w:spacing w:before="20" w:after="20" w:line="300" w:lineRule="auto"/>
              <w:jc w:val="center"/>
              <w:rPr>
                <w:rFonts w:hint="eastAsia" w:ascii="宋体" w:hAnsi="宋体" w:eastAsia="宋体"/>
                <w:b/>
                <w:bCs/>
              </w:rPr>
            </w:pPr>
            <w:r>
              <w:rPr>
                <w:rFonts w:ascii="宋体" w:hAnsi="宋体" w:eastAsia="宋体"/>
                <w:b/>
                <w:bCs/>
                <w:sz w:val="21"/>
                <w:szCs w:val="21"/>
              </w:rPr>
              <w:t>3</w:t>
            </w:r>
          </w:p>
        </w:tc>
      </w:tr>
      <w:tr w14:paraId="7C164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3E66A591">
            <w:pPr>
              <w:spacing w:before="20" w:after="20" w:line="300" w:lineRule="auto"/>
              <w:jc w:val="center"/>
              <w:rPr>
                <w:rFonts w:hint="eastAsia" w:ascii="宋体" w:hAnsi="宋体" w:eastAsia="宋体"/>
                <w:b/>
                <w:bCs/>
                <w:sz w:val="21"/>
                <w:szCs w:val="21"/>
              </w:rPr>
            </w:pPr>
          </w:p>
        </w:tc>
        <w:tc>
          <w:tcPr>
            <w:tcW w:w="7087" w:type="dxa"/>
            <w:noWrap w:val="0"/>
            <w:vAlign w:val="center"/>
          </w:tcPr>
          <w:p w14:paraId="1A724B71">
            <w:pPr>
              <w:spacing w:before="20" w:after="20" w:line="300" w:lineRule="auto"/>
              <w:rPr>
                <w:rFonts w:hint="eastAsia" w:ascii="宋体" w:hAnsi="宋体" w:eastAsia="宋体"/>
                <w:b/>
                <w:bCs/>
              </w:rPr>
            </w:pPr>
            <w:r>
              <w:rPr>
                <w:rFonts w:ascii="宋体" w:hAnsi="宋体" w:eastAsia="宋体"/>
                <w:b/>
                <w:bCs/>
                <w:sz w:val="21"/>
                <w:szCs w:val="21"/>
              </w:rPr>
              <w:t>造成严重环境影响</w:t>
            </w:r>
          </w:p>
        </w:tc>
        <w:tc>
          <w:tcPr>
            <w:tcW w:w="1021" w:type="dxa"/>
            <w:noWrap w:val="0"/>
            <w:vAlign w:val="center"/>
          </w:tcPr>
          <w:p w14:paraId="799401C3">
            <w:pPr>
              <w:spacing w:before="20" w:after="20" w:line="300" w:lineRule="auto"/>
              <w:jc w:val="center"/>
              <w:rPr>
                <w:rFonts w:hint="eastAsia" w:ascii="宋体" w:hAnsi="宋体" w:eastAsia="宋体"/>
                <w:b/>
                <w:bCs/>
              </w:rPr>
            </w:pPr>
            <w:r>
              <w:rPr>
                <w:rFonts w:ascii="宋体" w:hAnsi="宋体" w:eastAsia="宋体"/>
                <w:b/>
                <w:bCs/>
                <w:sz w:val="21"/>
                <w:szCs w:val="21"/>
              </w:rPr>
              <w:t>5</w:t>
            </w:r>
          </w:p>
        </w:tc>
      </w:tr>
      <w:tr w14:paraId="19161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noWrap w:val="0"/>
            <w:vAlign w:val="center"/>
          </w:tcPr>
          <w:p w14:paraId="3B2B0DF7">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备注</w:t>
            </w:r>
          </w:p>
        </w:tc>
        <w:tc>
          <w:tcPr>
            <w:tcW w:w="8108" w:type="dxa"/>
            <w:gridSpan w:val="2"/>
            <w:noWrap w:val="0"/>
            <w:vAlign w:val="center"/>
          </w:tcPr>
          <w:p w14:paraId="4B2BBC2E">
            <w:pPr>
              <w:spacing w:before="20" w:after="20" w:line="300" w:lineRule="auto"/>
              <w:rPr>
                <w:rFonts w:hint="eastAsia" w:ascii="宋体" w:hAnsi="宋体" w:eastAsia="宋体"/>
                <w:b/>
                <w:bCs/>
                <w:sz w:val="21"/>
                <w:szCs w:val="21"/>
              </w:rPr>
            </w:pPr>
            <w:r>
              <w:rPr>
                <w:rFonts w:hint="eastAsia" w:ascii="宋体" w:hAnsi="宋体" w:eastAsia="宋体"/>
                <w:b/>
                <w:bCs/>
                <w:sz w:val="21"/>
                <w:szCs w:val="21"/>
              </w:rPr>
              <w:t>违法事实的两项裁量因子仅适用于罚则规定第一档，即“</w:t>
            </w:r>
            <w:r>
              <w:rPr>
                <w:rFonts w:ascii="宋体" w:hAnsi="宋体" w:eastAsia="宋体"/>
                <w:b/>
                <w:bCs/>
                <w:sz w:val="21"/>
                <w:szCs w:val="21"/>
              </w:rPr>
              <w:t>消耗臭氧层物质的生产、使用单位未按照规定采取必要的措施防止或者减少消耗臭氧层物质的泄漏和排放的，由所在地生态环境主管部门责令改正，处5万元以上10万元以下的罚款</w:t>
            </w:r>
            <w:r>
              <w:rPr>
                <w:rFonts w:hint="eastAsia" w:ascii="宋体" w:hAnsi="宋体" w:eastAsia="宋体"/>
                <w:b/>
                <w:bCs/>
                <w:sz w:val="21"/>
                <w:szCs w:val="21"/>
              </w:rPr>
              <w:t>”。</w:t>
            </w:r>
          </w:p>
        </w:tc>
      </w:tr>
    </w:tbl>
    <w:p w14:paraId="206BC551">
      <w:pPr>
        <w:spacing w:before="40" w:after="40" w:line="400" w:lineRule="auto"/>
        <w:jc w:val="both"/>
        <w:rPr>
          <w:rFonts w:ascii="Times New Roman" w:hAnsi="Times New Roman" w:eastAsia="黑体"/>
          <w:b/>
          <w:bCs/>
          <w:sz w:val="24"/>
        </w:rPr>
      </w:pPr>
      <w:r>
        <w:rPr>
          <w:rFonts w:hint="eastAsia" w:ascii="Times New Roman" w:hAnsi="Times New Roman" w:eastAsia="黑体"/>
          <w:b/>
          <w:bCs/>
          <w:sz w:val="24"/>
          <w:lang w:val="en-US" w:eastAsia="zh-CN"/>
        </w:rPr>
        <w:t>7</w:t>
      </w:r>
      <w:r>
        <w:rPr>
          <w:rFonts w:hint="eastAsia" w:ascii="Times New Roman" w:hAnsi="Times New Roman" w:eastAsia="黑体"/>
          <w:b/>
          <w:bCs/>
          <w:sz w:val="24"/>
        </w:rPr>
        <w:t>.</w:t>
      </w:r>
      <w:r>
        <w:rPr>
          <w:rFonts w:ascii="Times New Roman" w:hAnsi="Times New Roman" w:eastAsia="黑体"/>
          <w:b/>
          <w:bCs/>
          <w:sz w:val="24"/>
        </w:rPr>
        <w:t>从事含消耗臭氧层物质的制冷设备、制冷系统或者灭火系统的维修、报废处理等经营活动的单位，未按照规定对消耗臭氧层物质进行回收、循环利用或者交由有关单位进行无害化处置的行为</w:t>
      </w:r>
      <w:r>
        <w:rPr>
          <w:rFonts w:hint="eastAsia" w:ascii="Times New Roman" w:hAnsi="Times New Roman" w:eastAsia="黑体"/>
          <w:b/>
          <w:bCs/>
          <w:sz w:val="24"/>
          <w:lang w:eastAsia="zh-CN"/>
        </w:rPr>
        <w:t>（新增）</w:t>
      </w:r>
    </w:p>
    <w:tbl>
      <w:tblPr>
        <w:tblStyle w:val="8"/>
        <w:tblW w:w="90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88"/>
        <w:gridCol w:w="7087"/>
        <w:gridCol w:w="1010"/>
      </w:tblGrid>
      <w:tr w14:paraId="3CE1E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noWrap w:val="0"/>
            <w:vAlign w:val="center"/>
          </w:tcPr>
          <w:p w14:paraId="40E068CF">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违反条款</w:t>
            </w:r>
          </w:p>
        </w:tc>
        <w:tc>
          <w:tcPr>
            <w:tcW w:w="8097" w:type="dxa"/>
            <w:gridSpan w:val="2"/>
            <w:noWrap w:val="0"/>
            <w:vAlign w:val="center"/>
          </w:tcPr>
          <w:p w14:paraId="6F606D52">
            <w:pPr>
              <w:spacing w:before="20" w:after="20" w:line="300" w:lineRule="auto"/>
              <w:rPr>
                <w:rFonts w:hint="eastAsia" w:ascii="宋体" w:hAnsi="宋体" w:eastAsia="宋体"/>
                <w:b/>
                <w:bCs/>
              </w:rPr>
            </w:pPr>
            <w:r>
              <w:rPr>
                <w:rFonts w:ascii="宋体" w:hAnsi="宋体" w:eastAsia="宋体"/>
                <w:b/>
                <w:bCs/>
                <w:sz w:val="21"/>
                <w:szCs w:val="21"/>
              </w:rPr>
              <w:t>《消耗臭氧层物质管理条例》（2026修订版）第十九条第二款</w:t>
            </w:r>
            <w:r>
              <w:rPr>
                <w:rFonts w:hint="eastAsia" w:ascii="宋体" w:hAnsi="宋体" w:eastAsia="宋体"/>
                <w:b/>
                <w:bCs/>
                <w:sz w:val="21"/>
                <w:szCs w:val="21"/>
              </w:rPr>
              <w:t xml:space="preserve"> </w:t>
            </w:r>
            <w:r>
              <w:rPr>
                <w:rFonts w:ascii="宋体" w:hAnsi="宋体" w:eastAsia="宋体"/>
                <w:b/>
                <w:bCs/>
                <w:sz w:val="21"/>
                <w:szCs w:val="21"/>
              </w:rPr>
              <w:t>从事含消耗臭氧层物质的制冷设备、制冷系统或者灭火系统的维修、报废处理等经营活动的单位，应当按照国务院生态环境主管部门的规定对消耗臭氧层物质进行回收、循环利用或者交由从事消耗臭氧层物质回收、再生利用、销毁等经营活动的单位进行无害化处置。</w:t>
            </w:r>
          </w:p>
        </w:tc>
      </w:tr>
      <w:tr w14:paraId="4FE08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noWrap w:val="0"/>
            <w:vAlign w:val="center"/>
          </w:tcPr>
          <w:p w14:paraId="1141D097">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处罚依据</w:t>
            </w:r>
          </w:p>
        </w:tc>
        <w:tc>
          <w:tcPr>
            <w:tcW w:w="8097" w:type="dxa"/>
            <w:gridSpan w:val="2"/>
            <w:noWrap w:val="0"/>
            <w:vAlign w:val="center"/>
          </w:tcPr>
          <w:p w14:paraId="79E8ECF6">
            <w:pPr>
              <w:spacing w:before="20" w:after="20" w:line="300" w:lineRule="auto"/>
              <w:rPr>
                <w:rFonts w:hint="eastAsia" w:ascii="宋体" w:hAnsi="宋体" w:eastAsia="宋体"/>
                <w:b/>
                <w:bCs/>
              </w:rPr>
            </w:pPr>
            <w:r>
              <w:rPr>
                <w:rFonts w:ascii="宋体" w:hAnsi="宋体" w:eastAsia="宋体"/>
                <w:b/>
                <w:bCs/>
                <w:sz w:val="21"/>
                <w:szCs w:val="21"/>
              </w:rPr>
              <w:t>《消耗臭氧层物质管理条例》（2026修订版）第三十五条</w:t>
            </w:r>
            <w:r>
              <w:rPr>
                <w:rFonts w:hint="eastAsia" w:ascii="宋体" w:hAnsi="宋体" w:eastAsia="宋体"/>
                <w:b/>
                <w:bCs/>
                <w:sz w:val="21"/>
                <w:szCs w:val="21"/>
              </w:rPr>
              <w:t xml:space="preserve"> </w:t>
            </w:r>
            <w:r>
              <w:rPr>
                <w:rFonts w:ascii="宋体" w:hAnsi="宋体" w:eastAsia="宋体"/>
                <w:b/>
                <w:bCs/>
                <w:sz w:val="21"/>
                <w:szCs w:val="21"/>
              </w:rPr>
              <w:t>从事含消耗臭氧层物质的制冷设备、制冷系统或者灭火系统的维修、报废处理等经营活动的单位，未按照规定对消耗臭氧层物质进行回收、循环利用或者交由从事消耗臭氧层物质回收、再生利用、销毁等经营活动的单位进行无害化处置的，由所在地生态环境主管部门责令改正，处5万元以上20万元以下的罚款；拒不改正的，责令停产整治或者停业整治。</w:t>
            </w:r>
          </w:p>
        </w:tc>
      </w:tr>
      <w:tr w14:paraId="16EFB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noWrap w:val="0"/>
            <w:vAlign w:val="center"/>
          </w:tcPr>
          <w:p w14:paraId="115F5EA4">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裁量因素</w:t>
            </w:r>
          </w:p>
        </w:tc>
        <w:tc>
          <w:tcPr>
            <w:tcW w:w="7087" w:type="dxa"/>
            <w:noWrap w:val="0"/>
            <w:vAlign w:val="center"/>
          </w:tcPr>
          <w:p w14:paraId="36DFA945">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裁量因子</w:t>
            </w:r>
          </w:p>
        </w:tc>
        <w:tc>
          <w:tcPr>
            <w:tcW w:w="1010" w:type="dxa"/>
            <w:noWrap w:val="0"/>
            <w:vAlign w:val="center"/>
          </w:tcPr>
          <w:p w14:paraId="5F79BC89">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裁量等级</w:t>
            </w:r>
          </w:p>
        </w:tc>
      </w:tr>
      <w:tr w14:paraId="155B7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restart"/>
            <w:noWrap w:val="0"/>
            <w:vAlign w:val="center"/>
          </w:tcPr>
          <w:p w14:paraId="7E15BB4B">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涉及消耗臭氧层物质数量</w:t>
            </w:r>
          </w:p>
        </w:tc>
        <w:tc>
          <w:tcPr>
            <w:tcW w:w="7087" w:type="dxa"/>
            <w:noWrap w:val="0"/>
            <w:vAlign w:val="center"/>
          </w:tcPr>
          <w:p w14:paraId="4DF91CAA">
            <w:pPr>
              <w:spacing w:before="20" w:after="20" w:line="300" w:lineRule="auto"/>
              <w:rPr>
                <w:rFonts w:hint="eastAsia" w:ascii="宋体" w:hAnsi="宋体" w:eastAsia="宋体"/>
                <w:b/>
                <w:bCs/>
              </w:rPr>
            </w:pPr>
            <w:r>
              <w:rPr>
                <w:rFonts w:ascii="宋体" w:hAnsi="宋体" w:eastAsia="宋体"/>
                <w:b/>
                <w:bCs/>
                <w:sz w:val="21"/>
                <w:szCs w:val="21"/>
              </w:rPr>
              <w:t>不足100千克</w:t>
            </w:r>
          </w:p>
        </w:tc>
        <w:tc>
          <w:tcPr>
            <w:tcW w:w="1010" w:type="dxa"/>
            <w:noWrap w:val="0"/>
            <w:vAlign w:val="center"/>
          </w:tcPr>
          <w:p w14:paraId="452FDEBF">
            <w:pPr>
              <w:spacing w:before="20" w:after="20" w:line="300" w:lineRule="auto"/>
              <w:jc w:val="center"/>
              <w:rPr>
                <w:rFonts w:hint="eastAsia" w:ascii="宋体" w:hAnsi="宋体" w:eastAsia="宋体"/>
                <w:b/>
                <w:bCs/>
              </w:rPr>
            </w:pPr>
            <w:r>
              <w:rPr>
                <w:rFonts w:ascii="宋体" w:hAnsi="宋体" w:eastAsia="宋体"/>
                <w:b/>
                <w:bCs/>
                <w:sz w:val="21"/>
                <w:szCs w:val="21"/>
              </w:rPr>
              <w:t>1</w:t>
            </w:r>
          </w:p>
        </w:tc>
      </w:tr>
      <w:tr w14:paraId="466D9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55E95F87">
            <w:pPr>
              <w:spacing w:before="20" w:after="20" w:line="300" w:lineRule="auto"/>
              <w:jc w:val="center"/>
              <w:rPr>
                <w:rFonts w:hint="eastAsia" w:ascii="宋体" w:hAnsi="宋体" w:eastAsia="宋体"/>
                <w:b/>
                <w:bCs/>
                <w:sz w:val="21"/>
                <w:szCs w:val="21"/>
              </w:rPr>
            </w:pPr>
          </w:p>
        </w:tc>
        <w:tc>
          <w:tcPr>
            <w:tcW w:w="7087" w:type="dxa"/>
            <w:noWrap w:val="0"/>
            <w:vAlign w:val="center"/>
          </w:tcPr>
          <w:p w14:paraId="5F505D14">
            <w:pPr>
              <w:spacing w:before="20" w:after="20" w:line="300" w:lineRule="auto"/>
              <w:rPr>
                <w:rFonts w:hint="eastAsia" w:ascii="宋体" w:hAnsi="宋体" w:eastAsia="宋体"/>
                <w:b/>
                <w:bCs/>
              </w:rPr>
            </w:pPr>
            <w:r>
              <w:rPr>
                <w:rFonts w:ascii="宋体" w:hAnsi="宋体" w:eastAsia="宋体"/>
                <w:b/>
                <w:bCs/>
                <w:sz w:val="21"/>
                <w:szCs w:val="21"/>
              </w:rPr>
              <w:t>100千克以上不足1吨</w:t>
            </w:r>
          </w:p>
        </w:tc>
        <w:tc>
          <w:tcPr>
            <w:tcW w:w="1010" w:type="dxa"/>
            <w:noWrap w:val="0"/>
            <w:vAlign w:val="center"/>
          </w:tcPr>
          <w:p w14:paraId="441DAAA2">
            <w:pPr>
              <w:spacing w:before="20" w:after="20" w:line="300" w:lineRule="auto"/>
              <w:jc w:val="center"/>
              <w:rPr>
                <w:rFonts w:hint="eastAsia" w:ascii="宋体" w:hAnsi="宋体" w:eastAsia="宋体"/>
                <w:b/>
                <w:bCs/>
              </w:rPr>
            </w:pPr>
            <w:r>
              <w:rPr>
                <w:rFonts w:ascii="宋体" w:hAnsi="宋体" w:eastAsia="宋体"/>
                <w:b/>
                <w:bCs/>
                <w:sz w:val="21"/>
                <w:szCs w:val="21"/>
              </w:rPr>
              <w:t>3</w:t>
            </w:r>
          </w:p>
        </w:tc>
      </w:tr>
      <w:tr w14:paraId="344B9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53D8090F">
            <w:pPr>
              <w:spacing w:before="20" w:after="20" w:line="300" w:lineRule="auto"/>
              <w:jc w:val="center"/>
              <w:rPr>
                <w:rFonts w:hint="eastAsia" w:ascii="宋体" w:hAnsi="宋体" w:eastAsia="宋体"/>
                <w:b/>
                <w:bCs/>
                <w:sz w:val="21"/>
                <w:szCs w:val="21"/>
              </w:rPr>
            </w:pPr>
          </w:p>
        </w:tc>
        <w:tc>
          <w:tcPr>
            <w:tcW w:w="7087" w:type="dxa"/>
            <w:noWrap w:val="0"/>
            <w:vAlign w:val="center"/>
          </w:tcPr>
          <w:p w14:paraId="78AC2B6B">
            <w:pPr>
              <w:spacing w:before="20" w:after="20" w:line="300" w:lineRule="auto"/>
              <w:rPr>
                <w:rFonts w:hint="eastAsia" w:ascii="宋体" w:hAnsi="宋体" w:eastAsia="宋体"/>
                <w:b/>
                <w:bCs/>
              </w:rPr>
            </w:pPr>
            <w:r>
              <w:rPr>
                <w:rFonts w:ascii="宋体" w:hAnsi="宋体" w:eastAsia="宋体"/>
                <w:b/>
                <w:bCs/>
                <w:sz w:val="21"/>
                <w:szCs w:val="21"/>
              </w:rPr>
              <w:t>1吨以上</w:t>
            </w:r>
          </w:p>
        </w:tc>
        <w:tc>
          <w:tcPr>
            <w:tcW w:w="1010" w:type="dxa"/>
            <w:noWrap w:val="0"/>
            <w:vAlign w:val="center"/>
          </w:tcPr>
          <w:p w14:paraId="69B2A7C8">
            <w:pPr>
              <w:spacing w:before="20" w:after="20" w:line="300" w:lineRule="auto"/>
              <w:jc w:val="center"/>
              <w:rPr>
                <w:rFonts w:hint="eastAsia" w:ascii="宋体" w:hAnsi="宋体" w:eastAsia="宋体"/>
                <w:b/>
                <w:bCs/>
              </w:rPr>
            </w:pPr>
            <w:r>
              <w:rPr>
                <w:rFonts w:ascii="宋体" w:hAnsi="宋体" w:eastAsia="宋体"/>
                <w:b/>
                <w:bCs/>
                <w:sz w:val="21"/>
                <w:szCs w:val="21"/>
              </w:rPr>
              <w:t>5</w:t>
            </w:r>
          </w:p>
        </w:tc>
      </w:tr>
      <w:tr w14:paraId="45AAF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restart"/>
            <w:noWrap w:val="0"/>
            <w:vAlign w:val="center"/>
          </w:tcPr>
          <w:p w14:paraId="79CEE455">
            <w:pPr>
              <w:spacing w:before="20" w:after="20" w:line="300" w:lineRule="auto"/>
              <w:jc w:val="center"/>
              <w:rPr>
                <w:rFonts w:hint="eastAsia" w:ascii="宋体" w:hAnsi="宋体" w:eastAsia="宋体"/>
                <w:b/>
                <w:bCs/>
                <w:sz w:val="21"/>
                <w:szCs w:val="21"/>
              </w:rPr>
            </w:pPr>
            <w:r>
              <w:rPr>
                <w:rFonts w:ascii="宋体" w:hAnsi="宋体" w:eastAsia="宋体"/>
                <w:b/>
                <w:bCs/>
                <w:sz w:val="21"/>
                <w:szCs w:val="21"/>
              </w:rPr>
              <w:t>消耗臭氧层物质种类</w:t>
            </w:r>
          </w:p>
        </w:tc>
        <w:tc>
          <w:tcPr>
            <w:tcW w:w="7087" w:type="dxa"/>
            <w:noWrap w:val="0"/>
            <w:vAlign w:val="center"/>
          </w:tcPr>
          <w:p w14:paraId="6C0EFF0F">
            <w:pPr>
              <w:spacing w:before="20" w:after="20" w:line="300" w:lineRule="auto"/>
              <w:rPr>
                <w:rFonts w:hint="eastAsia" w:ascii="宋体" w:hAnsi="宋体" w:eastAsia="宋体"/>
                <w:b/>
                <w:bCs/>
              </w:rPr>
            </w:pPr>
            <w:r>
              <w:rPr>
                <w:rFonts w:ascii="宋体" w:hAnsi="宋体" w:eastAsia="宋体"/>
                <w:b/>
                <w:bCs/>
                <w:sz w:val="21"/>
                <w:szCs w:val="21"/>
              </w:rPr>
              <w:t>允许使用类物质</w:t>
            </w:r>
          </w:p>
        </w:tc>
        <w:tc>
          <w:tcPr>
            <w:tcW w:w="1010" w:type="dxa"/>
            <w:noWrap w:val="0"/>
            <w:vAlign w:val="center"/>
          </w:tcPr>
          <w:p w14:paraId="41DBB0AD">
            <w:pPr>
              <w:spacing w:before="20" w:after="20" w:line="300" w:lineRule="auto"/>
              <w:jc w:val="center"/>
              <w:rPr>
                <w:rFonts w:hint="eastAsia" w:ascii="宋体" w:hAnsi="宋体" w:eastAsia="宋体"/>
                <w:b/>
                <w:bCs/>
              </w:rPr>
            </w:pPr>
            <w:r>
              <w:rPr>
                <w:rFonts w:ascii="宋体" w:hAnsi="宋体" w:eastAsia="宋体"/>
                <w:b/>
                <w:bCs/>
                <w:sz w:val="21"/>
                <w:szCs w:val="21"/>
              </w:rPr>
              <w:t>1</w:t>
            </w:r>
          </w:p>
        </w:tc>
      </w:tr>
      <w:tr w14:paraId="6714E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2B6FDB72">
            <w:pPr>
              <w:spacing w:before="20" w:after="20" w:line="300" w:lineRule="auto"/>
              <w:jc w:val="center"/>
              <w:rPr>
                <w:rFonts w:hint="eastAsia" w:ascii="宋体" w:hAnsi="宋体" w:eastAsia="宋体"/>
                <w:b/>
                <w:bCs/>
              </w:rPr>
            </w:pPr>
          </w:p>
        </w:tc>
        <w:tc>
          <w:tcPr>
            <w:tcW w:w="7087" w:type="dxa"/>
            <w:noWrap w:val="0"/>
            <w:vAlign w:val="center"/>
          </w:tcPr>
          <w:p w14:paraId="65BC0CBE">
            <w:pPr>
              <w:spacing w:before="20" w:after="20" w:line="300" w:lineRule="auto"/>
              <w:rPr>
                <w:rFonts w:hint="eastAsia" w:ascii="宋体" w:hAnsi="宋体" w:eastAsia="宋体"/>
                <w:b/>
                <w:bCs/>
              </w:rPr>
            </w:pPr>
            <w:r>
              <w:rPr>
                <w:rFonts w:ascii="宋体" w:hAnsi="宋体" w:eastAsia="宋体"/>
                <w:b/>
                <w:bCs/>
                <w:sz w:val="21"/>
                <w:szCs w:val="21"/>
              </w:rPr>
              <w:t>过度性使用类物质</w:t>
            </w:r>
          </w:p>
        </w:tc>
        <w:tc>
          <w:tcPr>
            <w:tcW w:w="1010" w:type="dxa"/>
            <w:noWrap w:val="0"/>
            <w:vAlign w:val="center"/>
          </w:tcPr>
          <w:p w14:paraId="35E3A479">
            <w:pPr>
              <w:spacing w:before="20" w:after="20" w:line="300" w:lineRule="auto"/>
              <w:jc w:val="center"/>
              <w:rPr>
                <w:rFonts w:hint="eastAsia" w:ascii="宋体" w:hAnsi="宋体" w:eastAsia="宋体"/>
                <w:b/>
                <w:bCs/>
              </w:rPr>
            </w:pPr>
            <w:r>
              <w:rPr>
                <w:rFonts w:ascii="宋体" w:hAnsi="宋体" w:eastAsia="宋体"/>
                <w:b/>
                <w:bCs/>
                <w:sz w:val="21"/>
                <w:szCs w:val="21"/>
              </w:rPr>
              <w:t>3</w:t>
            </w:r>
          </w:p>
        </w:tc>
      </w:tr>
      <w:tr w14:paraId="4EF89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7680674C">
            <w:pPr>
              <w:spacing w:before="20" w:after="20" w:line="300" w:lineRule="auto"/>
              <w:jc w:val="center"/>
              <w:rPr>
                <w:rFonts w:hint="eastAsia" w:ascii="宋体" w:hAnsi="宋体" w:eastAsia="宋体"/>
                <w:b/>
                <w:bCs/>
              </w:rPr>
            </w:pPr>
          </w:p>
        </w:tc>
        <w:tc>
          <w:tcPr>
            <w:tcW w:w="7087" w:type="dxa"/>
            <w:noWrap w:val="0"/>
            <w:vAlign w:val="center"/>
          </w:tcPr>
          <w:p w14:paraId="1560D264">
            <w:pPr>
              <w:spacing w:before="20" w:after="20" w:line="300" w:lineRule="auto"/>
              <w:rPr>
                <w:rFonts w:hint="eastAsia" w:ascii="宋体" w:hAnsi="宋体" w:eastAsia="宋体"/>
                <w:b/>
                <w:bCs/>
              </w:rPr>
            </w:pPr>
            <w:r>
              <w:rPr>
                <w:rFonts w:ascii="宋体" w:hAnsi="宋体" w:eastAsia="宋体"/>
                <w:b/>
                <w:bCs/>
                <w:sz w:val="21"/>
                <w:szCs w:val="21"/>
              </w:rPr>
              <w:t>禁止使用类物质</w:t>
            </w:r>
          </w:p>
        </w:tc>
        <w:tc>
          <w:tcPr>
            <w:tcW w:w="1010" w:type="dxa"/>
            <w:noWrap w:val="0"/>
            <w:vAlign w:val="center"/>
          </w:tcPr>
          <w:p w14:paraId="7D99AF67">
            <w:pPr>
              <w:spacing w:before="20" w:after="20" w:line="300" w:lineRule="auto"/>
              <w:jc w:val="center"/>
              <w:rPr>
                <w:rFonts w:hint="eastAsia" w:ascii="宋体" w:hAnsi="宋体" w:eastAsia="宋体"/>
                <w:b/>
                <w:bCs/>
              </w:rPr>
            </w:pPr>
            <w:r>
              <w:rPr>
                <w:rFonts w:ascii="宋体" w:hAnsi="宋体" w:eastAsia="宋体"/>
                <w:b/>
                <w:bCs/>
                <w:sz w:val="21"/>
                <w:szCs w:val="21"/>
              </w:rPr>
              <w:t>5</w:t>
            </w:r>
          </w:p>
        </w:tc>
      </w:tr>
      <w:tr w14:paraId="06A7E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restart"/>
            <w:noWrap w:val="0"/>
            <w:vAlign w:val="center"/>
          </w:tcPr>
          <w:p w14:paraId="27342FA5">
            <w:pPr>
              <w:autoSpaceDE w:val="0"/>
              <w:autoSpaceDN w:val="0"/>
              <w:spacing w:line="316" w:lineRule="exact"/>
              <w:jc w:val="center"/>
              <w:textAlignment w:val="baseline"/>
              <w:rPr>
                <w:rFonts w:hint="eastAsia" w:ascii="宋体" w:hAnsi="宋体" w:eastAsia="宋体"/>
                <w:b/>
                <w:bCs/>
                <w:sz w:val="21"/>
                <w:szCs w:val="21"/>
              </w:rPr>
            </w:pPr>
            <w:r>
              <w:rPr>
                <w:rFonts w:ascii="宋体" w:hAnsi="宋体" w:eastAsia="宋体"/>
                <w:b/>
                <w:bCs/>
                <w:sz w:val="21"/>
                <w:szCs w:val="21"/>
              </w:rPr>
              <w:t>违法行为</w:t>
            </w:r>
          </w:p>
          <w:p w14:paraId="71BEBCD8">
            <w:pPr>
              <w:spacing w:before="20" w:after="20" w:line="300" w:lineRule="auto"/>
              <w:jc w:val="center"/>
              <w:rPr>
                <w:rFonts w:hint="eastAsia" w:ascii="宋体" w:hAnsi="宋体" w:eastAsia="宋体"/>
                <w:b/>
                <w:bCs/>
              </w:rPr>
            </w:pPr>
            <w:r>
              <w:rPr>
                <w:rFonts w:ascii="宋体" w:hAnsi="宋体" w:eastAsia="宋体"/>
                <w:b/>
                <w:bCs/>
                <w:sz w:val="21"/>
                <w:szCs w:val="21"/>
              </w:rPr>
              <w:t>持续时间</w:t>
            </w:r>
          </w:p>
        </w:tc>
        <w:tc>
          <w:tcPr>
            <w:tcW w:w="7087" w:type="dxa"/>
            <w:noWrap w:val="0"/>
            <w:vAlign w:val="center"/>
          </w:tcPr>
          <w:p w14:paraId="277EAF64">
            <w:pPr>
              <w:spacing w:before="20" w:after="20" w:line="300" w:lineRule="auto"/>
              <w:rPr>
                <w:rFonts w:hint="eastAsia" w:ascii="宋体" w:hAnsi="宋体" w:eastAsia="宋体"/>
                <w:b/>
                <w:bCs/>
                <w:sz w:val="21"/>
                <w:szCs w:val="21"/>
              </w:rPr>
            </w:pPr>
            <w:r>
              <w:rPr>
                <w:rFonts w:hint="eastAsia" w:ascii="宋体" w:hAnsi="宋体" w:eastAsia="宋体"/>
                <w:b/>
                <w:bCs/>
                <w:sz w:val="21"/>
                <w:szCs w:val="21"/>
              </w:rPr>
              <w:t>不足</w:t>
            </w:r>
            <w:r>
              <w:rPr>
                <w:rFonts w:ascii="宋体" w:hAnsi="宋体" w:eastAsia="宋体"/>
                <w:b/>
                <w:bCs/>
                <w:sz w:val="21"/>
                <w:szCs w:val="21"/>
              </w:rPr>
              <w:t>1个月</w:t>
            </w:r>
          </w:p>
        </w:tc>
        <w:tc>
          <w:tcPr>
            <w:tcW w:w="1010" w:type="dxa"/>
            <w:noWrap w:val="0"/>
            <w:vAlign w:val="center"/>
          </w:tcPr>
          <w:p w14:paraId="3454DCF7">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1</w:t>
            </w:r>
          </w:p>
        </w:tc>
      </w:tr>
      <w:tr w14:paraId="0BA87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6BE1B843">
            <w:pPr>
              <w:spacing w:before="20" w:after="20" w:line="300" w:lineRule="auto"/>
              <w:jc w:val="center"/>
              <w:rPr>
                <w:rFonts w:hint="eastAsia" w:ascii="宋体" w:hAnsi="宋体" w:eastAsia="宋体"/>
                <w:b/>
                <w:bCs/>
              </w:rPr>
            </w:pPr>
          </w:p>
        </w:tc>
        <w:tc>
          <w:tcPr>
            <w:tcW w:w="7087" w:type="dxa"/>
            <w:noWrap w:val="0"/>
            <w:vAlign w:val="center"/>
          </w:tcPr>
          <w:p w14:paraId="273858F8">
            <w:pPr>
              <w:spacing w:before="20" w:after="20" w:line="300" w:lineRule="auto"/>
              <w:rPr>
                <w:rFonts w:hint="eastAsia" w:ascii="宋体" w:hAnsi="宋体" w:eastAsia="宋体"/>
                <w:b/>
                <w:bCs/>
                <w:sz w:val="21"/>
                <w:szCs w:val="21"/>
              </w:rPr>
            </w:pPr>
            <w:r>
              <w:rPr>
                <w:rFonts w:ascii="宋体" w:hAnsi="宋体" w:eastAsia="宋体"/>
                <w:b/>
                <w:bCs/>
                <w:sz w:val="21"/>
                <w:szCs w:val="21"/>
              </w:rPr>
              <w:t>1个月以上</w:t>
            </w:r>
            <w:r>
              <w:rPr>
                <w:rFonts w:hint="eastAsia" w:ascii="宋体" w:hAnsi="宋体" w:eastAsia="宋体"/>
                <w:b/>
                <w:bCs/>
                <w:sz w:val="21"/>
                <w:szCs w:val="21"/>
              </w:rPr>
              <w:t>不足</w:t>
            </w:r>
            <w:r>
              <w:rPr>
                <w:rFonts w:ascii="宋体" w:hAnsi="宋体" w:eastAsia="宋体"/>
                <w:b/>
                <w:bCs/>
                <w:sz w:val="21"/>
                <w:szCs w:val="21"/>
              </w:rPr>
              <w:t>3个月</w:t>
            </w:r>
          </w:p>
        </w:tc>
        <w:tc>
          <w:tcPr>
            <w:tcW w:w="1010" w:type="dxa"/>
            <w:noWrap w:val="0"/>
            <w:vAlign w:val="center"/>
          </w:tcPr>
          <w:p w14:paraId="371392B6">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2</w:t>
            </w:r>
          </w:p>
        </w:tc>
      </w:tr>
      <w:tr w14:paraId="52CEB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571CE1D4">
            <w:pPr>
              <w:spacing w:before="20" w:after="20" w:line="300" w:lineRule="auto"/>
              <w:jc w:val="center"/>
              <w:rPr>
                <w:rFonts w:hint="eastAsia" w:ascii="宋体" w:hAnsi="宋体" w:eastAsia="宋体"/>
                <w:b/>
                <w:bCs/>
              </w:rPr>
            </w:pPr>
          </w:p>
        </w:tc>
        <w:tc>
          <w:tcPr>
            <w:tcW w:w="7087" w:type="dxa"/>
            <w:noWrap w:val="0"/>
            <w:vAlign w:val="center"/>
          </w:tcPr>
          <w:p w14:paraId="76134743">
            <w:pPr>
              <w:spacing w:before="20" w:after="20" w:line="300" w:lineRule="auto"/>
              <w:rPr>
                <w:rFonts w:hint="eastAsia" w:ascii="宋体" w:hAnsi="宋体" w:eastAsia="宋体"/>
                <w:b/>
                <w:bCs/>
                <w:sz w:val="21"/>
                <w:szCs w:val="21"/>
              </w:rPr>
            </w:pPr>
            <w:r>
              <w:rPr>
                <w:rFonts w:ascii="宋体" w:hAnsi="宋体" w:eastAsia="宋体"/>
                <w:b/>
                <w:bCs/>
                <w:sz w:val="21"/>
                <w:szCs w:val="21"/>
              </w:rPr>
              <w:t>3个月以上</w:t>
            </w:r>
            <w:r>
              <w:rPr>
                <w:rFonts w:hint="eastAsia" w:ascii="宋体" w:hAnsi="宋体" w:eastAsia="宋体"/>
                <w:b/>
                <w:bCs/>
                <w:sz w:val="21"/>
                <w:szCs w:val="21"/>
              </w:rPr>
              <w:t>不足</w:t>
            </w:r>
            <w:r>
              <w:rPr>
                <w:rFonts w:ascii="宋体" w:hAnsi="宋体" w:eastAsia="宋体"/>
                <w:b/>
                <w:bCs/>
                <w:sz w:val="21"/>
                <w:szCs w:val="21"/>
              </w:rPr>
              <w:t>6个月</w:t>
            </w:r>
          </w:p>
        </w:tc>
        <w:tc>
          <w:tcPr>
            <w:tcW w:w="1010" w:type="dxa"/>
            <w:noWrap w:val="0"/>
            <w:vAlign w:val="center"/>
          </w:tcPr>
          <w:p w14:paraId="0FED7BBF">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3</w:t>
            </w:r>
          </w:p>
        </w:tc>
      </w:tr>
      <w:tr w14:paraId="23623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57CC5B14">
            <w:pPr>
              <w:spacing w:before="20" w:after="20" w:line="300" w:lineRule="auto"/>
              <w:jc w:val="center"/>
              <w:rPr>
                <w:rFonts w:hint="eastAsia" w:ascii="宋体" w:hAnsi="宋体" w:eastAsia="宋体"/>
                <w:b/>
                <w:bCs/>
              </w:rPr>
            </w:pPr>
          </w:p>
        </w:tc>
        <w:tc>
          <w:tcPr>
            <w:tcW w:w="7087" w:type="dxa"/>
            <w:noWrap w:val="0"/>
            <w:vAlign w:val="center"/>
          </w:tcPr>
          <w:p w14:paraId="0ABB38FB">
            <w:pPr>
              <w:spacing w:before="20" w:after="20" w:line="300" w:lineRule="auto"/>
              <w:rPr>
                <w:rFonts w:hint="eastAsia" w:ascii="宋体" w:hAnsi="宋体" w:eastAsia="宋体"/>
                <w:b/>
                <w:bCs/>
                <w:sz w:val="21"/>
                <w:szCs w:val="21"/>
              </w:rPr>
            </w:pPr>
            <w:r>
              <w:rPr>
                <w:rFonts w:ascii="宋体" w:hAnsi="宋体" w:eastAsia="宋体"/>
                <w:b/>
                <w:bCs/>
                <w:sz w:val="21"/>
                <w:szCs w:val="21"/>
              </w:rPr>
              <w:t>6个月以上</w:t>
            </w:r>
            <w:r>
              <w:rPr>
                <w:rFonts w:hint="eastAsia" w:ascii="宋体" w:hAnsi="宋体" w:eastAsia="宋体"/>
                <w:b/>
                <w:bCs/>
                <w:sz w:val="21"/>
                <w:szCs w:val="21"/>
              </w:rPr>
              <w:t>不足</w:t>
            </w:r>
            <w:r>
              <w:rPr>
                <w:rFonts w:ascii="宋体" w:hAnsi="宋体" w:eastAsia="宋体"/>
                <w:b/>
                <w:bCs/>
                <w:sz w:val="21"/>
                <w:szCs w:val="21"/>
              </w:rPr>
              <w:t>1</w:t>
            </w:r>
            <w:r>
              <w:rPr>
                <w:rFonts w:hint="eastAsia" w:ascii="宋体" w:hAnsi="宋体" w:eastAsia="宋体"/>
                <w:b/>
                <w:bCs/>
                <w:sz w:val="21"/>
                <w:szCs w:val="21"/>
              </w:rPr>
              <w:t>年</w:t>
            </w:r>
          </w:p>
        </w:tc>
        <w:tc>
          <w:tcPr>
            <w:tcW w:w="1010" w:type="dxa"/>
            <w:noWrap w:val="0"/>
            <w:vAlign w:val="center"/>
          </w:tcPr>
          <w:p w14:paraId="28D42234">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4</w:t>
            </w:r>
          </w:p>
        </w:tc>
      </w:tr>
      <w:tr w14:paraId="5B07E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44EE8785">
            <w:pPr>
              <w:spacing w:before="20" w:after="20" w:line="300" w:lineRule="auto"/>
              <w:jc w:val="center"/>
              <w:rPr>
                <w:rFonts w:hint="eastAsia" w:ascii="宋体" w:hAnsi="宋体" w:eastAsia="宋体"/>
                <w:b/>
                <w:bCs/>
              </w:rPr>
            </w:pPr>
          </w:p>
        </w:tc>
        <w:tc>
          <w:tcPr>
            <w:tcW w:w="7087" w:type="dxa"/>
            <w:noWrap w:val="0"/>
            <w:vAlign w:val="center"/>
          </w:tcPr>
          <w:p w14:paraId="33335C32">
            <w:pPr>
              <w:spacing w:before="20" w:after="20" w:line="300" w:lineRule="auto"/>
              <w:rPr>
                <w:rFonts w:hint="eastAsia" w:ascii="宋体" w:hAnsi="宋体" w:eastAsia="宋体"/>
                <w:b/>
                <w:bCs/>
                <w:sz w:val="21"/>
                <w:szCs w:val="21"/>
              </w:rPr>
            </w:pPr>
            <w:r>
              <w:rPr>
                <w:rFonts w:ascii="宋体" w:hAnsi="宋体" w:eastAsia="宋体"/>
                <w:b/>
                <w:bCs/>
                <w:sz w:val="21"/>
                <w:szCs w:val="21"/>
              </w:rPr>
              <w:t>1年以上</w:t>
            </w:r>
          </w:p>
        </w:tc>
        <w:tc>
          <w:tcPr>
            <w:tcW w:w="1010" w:type="dxa"/>
            <w:noWrap w:val="0"/>
            <w:vAlign w:val="center"/>
          </w:tcPr>
          <w:p w14:paraId="50EC13D3">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5</w:t>
            </w:r>
          </w:p>
        </w:tc>
      </w:tr>
    </w:tbl>
    <w:p w14:paraId="29ED280C">
      <w:pPr>
        <w:spacing w:before="40" w:after="40" w:line="400" w:lineRule="auto"/>
        <w:jc w:val="both"/>
        <w:rPr>
          <w:rFonts w:hint="eastAsia" w:ascii="Times New Roman" w:hAnsi="Times New Roman" w:eastAsia="黑体"/>
          <w:b/>
          <w:bCs/>
          <w:sz w:val="24"/>
          <w:lang w:eastAsia="zh-CN"/>
        </w:rPr>
      </w:pPr>
      <w:r>
        <w:rPr>
          <w:rFonts w:hint="eastAsia" w:ascii="Times New Roman" w:hAnsi="Times New Roman" w:eastAsia="黑体"/>
          <w:b/>
          <w:bCs/>
          <w:sz w:val="24"/>
          <w:lang w:val="en-US" w:eastAsia="zh-CN"/>
        </w:rPr>
        <w:t>8</w:t>
      </w:r>
      <w:r>
        <w:rPr>
          <w:rFonts w:hint="eastAsia" w:ascii="Times New Roman" w:hAnsi="Times New Roman" w:eastAsia="黑体"/>
          <w:b/>
          <w:bCs/>
          <w:sz w:val="24"/>
        </w:rPr>
        <w:t>.</w:t>
      </w:r>
      <w:r>
        <w:rPr>
          <w:rFonts w:ascii="Times New Roman" w:hAnsi="Times New Roman" w:eastAsia="黑体"/>
          <w:b/>
          <w:bCs/>
          <w:sz w:val="24"/>
        </w:rPr>
        <w:t>从事消耗臭氧层物质回收、再生利用、销毁等经营活动的单位以及生产过程中附带产生消耗臭氧层物质的单位，未按照规定对消耗臭氧层物质进行无害化处置而直接排放的行为</w:t>
      </w:r>
      <w:r>
        <w:rPr>
          <w:rFonts w:hint="eastAsia" w:ascii="Times New Roman" w:hAnsi="Times New Roman" w:eastAsia="黑体"/>
          <w:b/>
          <w:bCs/>
          <w:sz w:val="24"/>
          <w:lang w:eastAsia="zh-CN"/>
        </w:rPr>
        <w:t>（新增）</w:t>
      </w:r>
    </w:p>
    <w:tbl>
      <w:tblPr>
        <w:tblStyle w:val="8"/>
        <w:tblW w:w="90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988"/>
        <w:gridCol w:w="7087"/>
        <w:gridCol w:w="1020"/>
      </w:tblGrid>
      <w:tr w14:paraId="20419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noWrap w:val="0"/>
            <w:vAlign w:val="center"/>
          </w:tcPr>
          <w:p w14:paraId="4DC6FA65">
            <w:pPr>
              <w:autoSpaceDE w:val="0"/>
              <w:autoSpaceDN w:val="0"/>
              <w:spacing w:line="316" w:lineRule="exact"/>
              <w:jc w:val="center"/>
              <w:textAlignment w:val="baseline"/>
              <w:rPr>
                <w:rFonts w:hint="eastAsia" w:ascii="宋体" w:hAnsi="宋体" w:eastAsia="宋体"/>
                <w:b/>
                <w:bCs/>
                <w:sz w:val="21"/>
                <w:szCs w:val="21"/>
              </w:rPr>
            </w:pPr>
            <w:r>
              <w:rPr>
                <w:rFonts w:ascii="宋体" w:hAnsi="宋体" w:eastAsia="宋体"/>
                <w:b/>
                <w:bCs/>
                <w:sz w:val="21"/>
                <w:szCs w:val="21"/>
              </w:rPr>
              <w:t>违反条款</w:t>
            </w:r>
          </w:p>
        </w:tc>
        <w:tc>
          <w:tcPr>
            <w:tcW w:w="8107" w:type="dxa"/>
            <w:gridSpan w:val="2"/>
            <w:noWrap w:val="0"/>
            <w:vAlign w:val="center"/>
          </w:tcPr>
          <w:p w14:paraId="39CE6849">
            <w:pPr>
              <w:spacing w:before="20" w:after="20" w:line="300" w:lineRule="auto"/>
              <w:rPr>
                <w:rFonts w:hint="eastAsia" w:ascii="宋体" w:hAnsi="宋体" w:eastAsia="宋体"/>
                <w:b/>
                <w:bCs/>
              </w:rPr>
            </w:pPr>
            <w:r>
              <w:rPr>
                <w:rFonts w:ascii="宋体" w:hAnsi="宋体" w:eastAsia="宋体"/>
                <w:b/>
                <w:bCs/>
                <w:sz w:val="21"/>
                <w:szCs w:val="21"/>
              </w:rPr>
              <w:t>《消耗臭氧层物质管理条例》（2026修订版）第十九条第三款</w:t>
            </w:r>
            <w:r>
              <w:rPr>
                <w:rFonts w:hint="eastAsia" w:ascii="宋体" w:hAnsi="宋体" w:eastAsia="宋体"/>
                <w:b/>
                <w:bCs/>
                <w:sz w:val="21"/>
                <w:szCs w:val="21"/>
              </w:rPr>
              <w:t xml:space="preserve"> </w:t>
            </w:r>
            <w:r>
              <w:rPr>
                <w:rFonts w:ascii="宋体" w:hAnsi="宋体" w:eastAsia="宋体"/>
                <w:b/>
                <w:bCs/>
                <w:sz w:val="21"/>
                <w:szCs w:val="21"/>
              </w:rPr>
              <w:t>从事消耗臭氧层物质回收、再生利用、销毁等经营活动的单位，以及生产过程中附带产生消耗臭氧层物质的单位，应当按照国务院生态环境主管部门的规定对消耗臭氧层物质进行无害化处置，不得直接排放</w:t>
            </w:r>
            <w:r>
              <w:rPr>
                <w:rFonts w:hint="eastAsia" w:ascii="宋体" w:hAnsi="宋体" w:eastAsia="宋体"/>
                <w:b/>
                <w:bCs/>
                <w:sz w:val="21"/>
                <w:szCs w:val="21"/>
              </w:rPr>
              <w:t>。</w:t>
            </w:r>
          </w:p>
        </w:tc>
      </w:tr>
      <w:tr w14:paraId="5CD5E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noWrap w:val="0"/>
            <w:vAlign w:val="center"/>
          </w:tcPr>
          <w:p w14:paraId="5FE0D305">
            <w:pPr>
              <w:autoSpaceDE w:val="0"/>
              <w:autoSpaceDN w:val="0"/>
              <w:spacing w:line="316" w:lineRule="exact"/>
              <w:jc w:val="center"/>
              <w:textAlignment w:val="baseline"/>
              <w:rPr>
                <w:rFonts w:hint="eastAsia" w:ascii="宋体" w:hAnsi="宋体" w:eastAsia="宋体"/>
                <w:b/>
                <w:bCs/>
                <w:sz w:val="21"/>
                <w:szCs w:val="21"/>
              </w:rPr>
            </w:pPr>
            <w:r>
              <w:rPr>
                <w:rFonts w:ascii="宋体" w:hAnsi="宋体" w:eastAsia="宋体"/>
                <w:b/>
                <w:bCs/>
                <w:sz w:val="21"/>
                <w:szCs w:val="21"/>
              </w:rPr>
              <w:t>处罚依据</w:t>
            </w:r>
          </w:p>
        </w:tc>
        <w:tc>
          <w:tcPr>
            <w:tcW w:w="8107" w:type="dxa"/>
            <w:gridSpan w:val="2"/>
            <w:noWrap w:val="0"/>
            <w:vAlign w:val="center"/>
          </w:tcPr>
          <w:p w14:paraId="49632054">
            <w:pPr>
              <w:spacing w:before="20" w:after="20" w:line="300" w:lineRule="auto"/>
              <w:rPr>
                <w:rFonts w:hint="eastAsia" w:ascii="宋体" w:hAnsi="宋体" w:eastAsia="宋体"/>
                <w:b/>
                <w:bCs/>
              </w:rPr>
            </w:pPr>
            <w:r>
              <w:rPr>
                <w:rFonts w:ascii="宋体" w:hAnsi="宋体" w:eastAsia="宋体"/>
                <w:b/>
                <w:bCs/>
                <w:sz w:val="21"/>
                <w:szCs w:val="21"/>
              </w:rPr>
              <w:t>《消耗臭氧层物质管理条例》（2026修订版）第三十六条</w:t>
            </w:r>
            <w:r>
              <w:rPr>
                <w:rFonts w:hint="eastAsia" w:ascii="宋体" w:hAnsi="宋体" w:eastAsia="宋体"/>
                <w:b/>
                <w:bCs/>
                <w:sz w:val="21"/>
                <w:szCs w:val="21"/>
              </w:rPr>
              <w:t xml:space="preserve"> </w:t>
            </w:r>
            <w:r>
              <w:rPr>
                <w:rFonts w:ascii="宋体" w:hAnsi="宋体" w:eastAsia="宋体"/>
                <w:b/>
                <w:bCs/>
                <w:sz w:val="21"/>
                <w:szCs w:val="21"/>
              </w:rPr>
              <w:t>从事消耗臭氧层物质回收、再生利用、销毁等经营活动的单位，以及生产过程中附带产生消耗臭氧层物质的单位，未按照规定对消耗臭氧层物质进行无害化处置而直接排放的，由所在地生态环境主管部门责令改正，处10万元以上50万元以下的罚款；拒不改正的，责令停产整治或者停业整治。</w:t>
            </w:r>
          </w:p>
        </w:tc>
      </w:tr>
      <w:tr w14:paraId="08ED9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noWrap w:val="0"/>
            <w:vAlign w:val="center"/>
          </w:tcPr>
          <w:p w14:paraId="388A909F">
            <w:pPr>
              <w:autoSpaceDE w:val="0"/>
              <w:autoSpaceDN w:val="0"/>
              <w:spacing w:line="316" w:lineRule="exact"/>
              <w:jc w:val="center"/>
              <w:textAlignment w:val="baseline"/>
              <w:rPr>
                <w:rFonts w:hint="eastAsia" w:ascii="宋体" w:hAnsi="宋体" w:eastAsia="宋体"/>
                <w:b/>
                <w:bCs/>
                <w:sz w:val="21"/>
                <w:szCs w:val="21"/>
              </w:rPr>
            </w:pPr>
            <w:r>
              <w:rPr>
                <w:rFonts w:ascii="宋体" w:hAnsi="宋体" w:eastAsia="宋体"/>
                <w:b/>
                <w:bCs/>
                <w:sz w:val="21"/>
                <w:szCs w:val="21"/>
              </w:rPr>
              <w:t>裁量因素</w:t>
            </w:r>
          </w:p>
        </w:tc>
        <w:tc>
          <w:tcPr>
            <w:tcW w:w="7087" w:type="dxa"/>
            <w:noWrap w:val="0"/>
            <w:vAlign w:val="center"/>
          </w:tcPr>
          <w:p w14:paraId="03332F50">
            <w:pPr>
              <w:autoSpaceDE w:val="0"/>
              <w:autoSpaceDN w:val="0"/>
              <w:spacing w:line="316" w:lineRule="exact"/>
              <w:jc w:val="center"/>
              <w:textAlignment w:val="baseline"/>
              <w:rPr>
                <w:rFonts w:hint="eastAsia" w:ascii="宋体" w:hAnsi="宋体" w:eastAsia="宋体"/>
                <w:b/>
                <w:bCs/>
                <w:sz w:val="21"/>
                <w:szCs w:val="21"/>
              </w:rPr>
            </w:pPr>
            <w:r>
              <w:rPr>
                <w:rFonts w:ascii="宋体" w:hAnsi="宋体" w:eastAsia="宋体"/>
                <w:b/>
                <w:bCs/>
                <w:sz w:val="21"/>
                <w:szCs w:val="21"/>
              </w:rPr>
              <w:t>裁量因子</w:t>
            </w:r>
          </w:p>
        </w:tc>
        <w:tc>
          <w:tcPr>
            <w:tcW w:w="1020" w:type="dxa"/>
            <w:noWrap w:val="0"/>
            <w:vAlign w:val="center"/>
          </w:tcPr>
          <w:p w14:paraId="426D3A41">
            <w:pPr>
              <w:autoSpaceDE w:val="0"/>
              <w:autoSpaceDN w:val="0"/>
              <w:spacing w:line="316" w:lineRule="exact"/>
              <w:jc w:val="center"/>
              <w:textAlignment w:val="baseline"/>
              <w:rPr>
                <w:rFonts w:hint="eastAsia" w:ascii="宋体" w:hAnsi="宋体" w:eastAsia="宋体"/>
                <w:b/>
                <w:bCs/>
                <w:sz w:val="21"/>
                <w:szCs w:val="21"/>
              </w:rPr>
            </w:pPr>
            <w:r>
              <w:rPr>
                <w:rFonts w:ascii="宋体" w:hAnsi="宋体" w:eastAsia="宋体"/>
                <w:b/>
                <w:bCs/>
                <w:sz w:val="21"/>
                <w:szCs w:val="21"/>
              </w:rPr>
              <w:t>裁量等级</w:t>
            </w:r>
          </w:p>
        </w:tc>
      </w:tr>
      <w:tr w14:paraId="72814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restart"/>
            <w:noWrap w:val="0"/>
            <w:vAlign w:val="center"/>
          </w:tcPr>
          <w:p w14:paraId="3AFF9B36">
            <w:pPr>
              <w:autoSpaceDE w:val="0"/>
              <w:autoSpaceDN w:val="0"/>
              <w:spacing w:line="316" w:lineRule="exact"/>
              <w:jc w:val="center"/>
              <w:textAlignment w:val="baseline"/>
              <w:rPr>
                <w:rFonts w:hint="eastAsia" w:ascii="宋体" w:hAnsi="宋体" w:eastAsia="宋体"/>
                <w:b/>
                <w:bCs/>
                <w:sz w:val="21"/>
                <w:szCs w:val="21"/>
              </w:rPr>
            </w:pPr>
            <w:r>
              <w:rPr>
                <w:rFonts w:ascii="宋体" w:hAnsi="宋体" w:eastAsia="宋体"/>
                <w:b/>
                <w:bCs/>
                <w:sz w:val="21"/>
                <w:szCs w:val="21"/>
              </w:rPr>
              <w:t>排放消耗臭氧层物质数量</w:t>
            </w:r>
          </w:p>
        </w:tc>
        <w:tc>
          <w:tcPr>
            <w:tcW w:w="7087" w:type="dxa"/>
            <w:noWrap w:val="0"/>
            <w:vAlign w:val="center"/>
          </w:tcPr>
          <w:p w14:paraId="6B670D06">
            <w:pPr>
              <w:spacing w:before="20" w:after="20" w:line="300" w:lineRule="auto"/>
              <w:rPr>
                <w:rFonts w:hint="eastAsia" w:ascii="宋体" w:hAnsi="宋体" w:eastAsia="宋体"/>
                <w:b/>
                <w:bCs/>
              </w:rPr>
            </w:pPr>
            <w:r>
              <w:rPr>
                <w:rFonts w:ascii="宋体" w:hAnsi="宋体" w:eastAsia="宋体"/>
                <w:b/>
                <w:bCs/>
                <w:sz w:val="21"/>
                <w:szCs w:val="21"/>
              </w:rPr>
              <w:t>不足100千克</w:t>
            </w:r>
          </w:p>
        </w:tc>
        <w:tc>
          <w:tcPr>
            <w:tcW w:w="1020" w:type="dxa"/>
            <w:noWrap w:val="0"/>
            <w:vAlign w:val="center"/>
          </w:tcPr>
          <w:p w14:paraId="72F571B3">
            <w:pPr>
              <w:spacing w:before="20" w:after="20" w:line="300" w:lineRule="auto"/>
              <w:jc w:val="center"/>
              <w:rPr>
                <w:rFonts w:hint="eastAsia" w:ascii="宋体" w:hAnsi="宋体" w:eastAsia="宋体"/>
                <w:b/>
                <w:bCs/>
              </w:rPr>
            </w:pPr>
            <w:r>
              <w:rPr>
                <w:rFonts w:ascii="宋体" w:hAnsi="宋体" w:eastAsia="宋体"/>
                <w:b/>
                <w:bCs/>
                <w:sz w:val="21"/>
                <w:szCs w:val="21"/>
              </w:rPr>
              <w:t>1</w:t>
            </w:r>
          </w:p>
        </w:tc>
      </w:tr>
      <w:tr w14:paraId="7C8DD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35A08E8B">
            <w:pPr>
              <w:autoSpaceDE w:val="0"/>
              <w:autoSpaceDN w:val="0"/>
              <w:spacing w:line="316" w:lineRule="exact"/>
              <w:jc w:val="center"/>
              <w:textAlignment w:val="baseline"/>
              <w:rPr>
                <w:rFonts w:hint="eastAsia" w:ascii="宋体" w:hAnsi="宋体" w:eastAsia="宋体"/>
                <w:b/>
                <w:bCs/>
                <w:sz w:val="21"/>
                <w:szCs w:val="21"/>
              </w:rPr>
            </w:pPr>
          </w:p>
        </w:tc>
        <w:tc>
          <w:tcPr>
            <w:tcW w:w="7087" w:type="dxa"/>
            <w:noWrap w:val="0"/>
            <w:vAlign w:val="center"/>
          </w:tcPr>
          <w:p w14:paraId="600EF59C">
            <w:pPr>
              <w:spacing w:before="20" w:after="20" w:line="300" w:lineRule="auto"/>
              <w:rPr>
                <w:rFonts w:hint="eastAsia" w:ascii="宋体" w:hAnsi="宋体" w:eastAsia="宋体"/>
                <w:b/>
                <w:bCs/>
              </w:rPr>
            </w:pPr>
            <w:r>
              <w:rPr>
                <w:rFonts w:ascii="宋体" w:hAnsi="宋体" w:eastAsia="宋体"/>
                <w:b/>
                <w:bCs/>
                <w:sz w:val="21"/>
                <w:szCs w:val="21"/>
              </w:rPr>
              <w:t>100千克以上不足1000千克</w:t>
            </w:r>
          </w:p>
        </w:tc>
        <w:tc>
          <w:tcPr>
            <w:tcW w:w="1020" w:type="dxa"/>
            <w:noWrap w:val="0"/>
            <w:vAlign w:val="center"/>
          </w:tcPr>
          <w:p w14:paraId="7FE93616">
            <w:pPr>
              <w:spacing w:before="20" w:after="20" w:line="300" w:lineRule="auto"/>
              <w:jc w:val="center"/>
              <w:rPr>
                <w:rFonts w:hint="eastAsia" w:ascii="宋体" w:hAnsi="宋体" w:eastAsia="宋体"/>
                <w:b/>
                <w:bCs/>
              </w:rPr>
            </w:pPr>
            <w:r>
              <w:rPr>
                <w:rFonts w:ascii="宋体" w:hAnsi="宋体" w:eastAsia="宋体"/>
                <w:b/>
                <w:bCs/>
                <w:sz w:val="21"/>
                <w:szCs w:val="21"/>
              </w:rPr>
              <w:t>3</w:t>
            </w:r>
          </w:p>
        </w:tc>
      </w:tr>
      <w:tr w14:paraId="0783B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05BFAC1A">
            <w:pPr>
              <w:autoSpaceDE w:val="0"/>
              <w:autoSpaceDN w:val="0"/>
              <w:spacing w:line="316" w:lineRule="exact"/>
              <w:jc w:val="center"/>
              <w:textAlignment w:val="baseline"/>
              <w:rPr>
                <w:rFonts w:hint="eastAsia" w:ascii="宋体" w:hAnsi="宋体" w:eastAsia="宋体"/>
                <w:b/>
                <w:bCs/>
                <w:sz w:val="21"/>
                <w:szCs w:val="21"/>
              </w:rPr>
            </w:pPr>
          </w:p>
        </w:tc>
        <w:tc>
          <w:tcPr>
            <w:tcW w:w="7087" w:type="dxa"/>
            <w:noWrap w:val="0"/>
            <w:vAlign w:val="center"/>
          </w:tcPr>
          <w:p w14:paraId="016A3865">
            <w:pPr>
              <w:spacing w:before="20" w:after="20" w:line="300" w:lineRule="auto"/>
              <w:rPr>
                <w:rFonts w:hint="eastAsia" w:ascii="宋体" w:hAnsi="宋体" w:eastAsia="宋体"/>
                <w:b/>
                <w:bCs/>
              </w:rPr>
            </w:pPr>
            <w:r>
              <w:rPr>
                <w:rFonts w:ascii="宋体" w:hAnsi="宋体" w:eastAsia="宋体"/>
                <w:b/>
                <w:bCs/>
                <w:sz w:val="21"/>
                <w:szCs w:val="21"/>
              </w:rPr>
              <w:t>1000千克以上</w:t>
            </w:r>
          </w:p>
        </w:tc>
        <w:tc>
          <w:tcPr>
            <w:tcW w:w="1020" w:type="dxa"/>
            <w:noWrap w:val="0"/>
            <w:vAlign w:val="center"/>
          </w:tcPr>
          <w:p w14:paraId="317F8571">
            <w:pPr>
              <w:spacing w:before="20" w:after="20" w:line="300" w:lineRule="auto"/>
              <w:jc w:val="center"/>
              <w:rPr>
                <w:rFonts w:hint="eastAsia" w:ascii="宋体" w:hAnsi="宋体" w:eastAsia="宋体"/>
                <w:b/>
                <w:bCs/>
              </w:rPr>
            </w:pPr>
            <w:r>
              <w:rPr>
                <w:rFonts w:ascii="宋体" w:hAnsi="宋体" w:eastAsia="宋体"/>
                <w:b/>
                <w:bCs/>
                <w:sz w:val="21"/>
                <w:szCs w:val="21"/>
              </w:rPr>
              <w:t>5</w:t>
            </w:r>
          </w:p>
        </w:tc>
      </w:tr>
      <w:tr w14:paraId="12269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restart"/>
            <w:noWrap w:val="0"/>
            <w:vAlign w:val="center"/>
          </w:tcPr>
          <w:p w14:paraId="2A774B1E">
            <w:pPr>
              <w:autoSpaceDE w:val="0"/>
              <w:autoSpaceDN w:val="0"/>
              <w:spacing w:line="316" w:lineRule="exact"/>
              <w:jc w:val="center"/>
              <w:textAlignment w:val="baseline"/>
              <w:rPr>
                <w:rFonts w:hint="eastAsia" w:ascii="宋体" w:hAnsi="宋体" w:eastAsia="宋体"/>
                <w:b/>
                <w:bCs/>
                <w:sz w:val="21"/>
                <w:szCs w:val="21"/>
              </w:rPr>
            </w:pPr>
            <w:r>
              <w:rPr>
                <w:rFonts w:ascii="宋体" w:hAnsi="宋体" w:eastAsia="宋体"/>
                <w:b/>
                <w:bCs/>
                <w:sz w:val="21"/>
                <w:szCs w:val="21"/>
              </w:rPr>
              <w:t>消耗臭氧层物质种类</w:t>
            </w:r>
          </w:p>
        </w:tc>
        <w:tc>
          <w:tcPr>
            <w:tcW w:w="7087" w:type="dxa"/>
            <w:noWrap w:val="0"/>
            <w:vAlign w:val="center"/>
          </w:tcPr>
          <w:p w14:paraId="538F8926">
            <w:pPr>
              <w:spacing w:before="20" w:after="20" w:line="300" w:lineRule="auto"/>
              <w:rPr>
                <w:rFonts w:hint="eastAsia" w:ascii="宋体" w:hAnsi="宋体" w:eastAsia="宋体"/>
                <w:b/>
                <w:bCs/>
              </w:rPr>
            </w:pPr>
            <w:r>
              <w:rPr>
                <w:rFonts w:ascii="宋体" w:hAnsi="宋体" w:eastAsia="宋体"/>
                <w:b/>
                <w:bCs/>
                <w:sz w:val="21"/>
                <w:szCs w:val="21"/>
              </w:rPr>
              <w:t>允许使用类物质</w:t>
            </w:r>
          </w:p>
        </w:tc>
        <w:tc>
          <w:tcPr>
            <w:tcW w:w="1020" w:type="dxa"/>
            <w:noWrap w:val="0"/>
            <w:vAlign w:val="center"/>
          </w:tcPr>
          <w:p w14:paraId="06DEC38C">
            <w:pPr>
              <w:spacing w:before="20" w:after="20" w:line="300" w:lineRule="auto"/>
              <w:jc w:val="center"/>
              <w:rPr>
                <w:rFonts w:hint="eastAsia" w:ascii="宋体" w:hAnsi="宋体" w:eastAsia="宋体"/>
                <w:b/>
                <w:bCs/>
              </w:rPr>
            </w:pPr>
            <w:r>
              <w:rPr>
                <w:rFonts w:ascii="宋体" w:hAnsi="宋体" w:eastAsia="宋体"/>
                <w:b/>
                <w:bCs/>
                <w:sz w:val="21"/>
                <w:szCs w:val="21"/>
              </w:rPr>
              <w:t>1</w:t>
            </w:r>
          </w:p>
        </w:tc>
      </w:tr>
      <w:tr w14:paraId="54AE8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05541F03">
            <w:pPr>
              <w:spacing w:before="20" w:after="20" w:line="300" w:lineRule="auto"/>
              <w:jc w:val="center"/>
              <w:rPr>
                <w:rFonts w:hint="eastAsia" w:ascii="宋体" w:hAnsi="宋体" w:eastAsia="宋体"/>
                <w:b/>
                <w:bCs/>
              </w:rPr>
            </w:pPr>
          </w:p>
        </w:tc>
        <w:tc>
          <w:tcPr>
            <w:tcW w:w="7087" w:type="dxa"/>
            <w:noWrap w:val="0"/>
            <w:vAlign w:val="center"/>
          </w:tcPr>
          <w:p w14:paraId="6AB7C0EB">
            <w:pPr>
              <w:spacing w:before="20" w:after="20" w:line="300" w:lineRule="auto"/>
              <w:rPr>
                <w:rFonts w:hint="eastAsia" w:ascii="宋体" w:hAnsi="宋体" w:eastAsia="宋体"/>
                <w:b/>
                <w:bCs/>
              </w:rPr>
            </w:pPr>
            <w:r>
              <w:rPr>
                <w:rFonts w:ascii="宋体" w:hAnsi="宋体" w:eastAsia="宋体"/>
                <w:b/>
                <w:bCs/>
                <w:sz w:val="21"/>
                <w:szCs w:val="21"/>
              </w:rPr>
              <w:t>过度性使用类物质</w:t>
            </w:r>
          </w:p>
        </w:tc>
        <w:tc>
          <w:tcPr>
            <w:tcW w:w="1020" w:type="dxa"/>
            <w:noWrap w:val="0"/>
            <w:vAlign w:val="center"/>
          </w:tcPr>
          <w:p w14:paraId="4345E109">
            <w:pPr>
              <w:spacing w:before="20" w:after="20" w:line="300" w:lineRule="auto"/>
              <w:jc w:val="center"/>
              <w:rPr>
                <w:rFonts w:hint="eastAsia" w:ascii="宋体" w:hAnsi="宋体" w:eastAsia="宋体"/>
                <w:b/>
                <w:bCs/>
              </w:rPr>
            </w:pPr>
            <w:r>
              <w:rPr>
                <w:rFonts w:ascii="宋体" w:hAnsi="宋体" w:eastAsia="宋体"/>
                <w:b/>
                <w:bCs/>
                <w:sz w:val="21"/>
                <w:szCs w:val="21"/>
              </w:rPr>
              <w:t>3</w:t>
            </w:r>
          </w:p>
        </w:tc>
      </w:tr>
      <w:tr w14:paraId="05C7D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67488FEF">
            <w:pPr>
              <w:spacing w:before="20" w:after="20" w:line="300" w:lineRule="auto"/>
              <w:jc w:val="center"/>
              <w:rPr>
                <w:rFonts w:hint="eastAsia" w:ascii="宋体" w:hAnsi="宋体" w:eastAsia="宋体"/>
                <w:b/>
                <w:bCs/>
              </w:rPr>
            </w:pPr>
          </w:p>
        </w:tc>
        <w:tc>
          <w:tcPr>
            <w:tcW w:w="7087" w:type="dxa"/>
            <w:noWrap w:val="0"/>
            <w:vAlign w:val="center"/>
          </w:tcPr>
          <w:p w14:paraId="384F593A">
            <w:pPr>
              <w:spacing w:before="20" w:after="20" w:line="300" w:lineRule="auto"/>
              <w:rPr>
                <w:rFonts w:hint="eastAsia" w:ascii="宋体" w:hAnsi="宋体" w:eastAsia="宋体"/>
                <w:b/>
                <w:bCs/>
              </w:rPr>
            </w:pPr>
            <w:r>
              <w:rPr>
                <w:rFonts w:ascii="宋体" w:hAnsi="宋体" w:eastAsia="宋体"/>
                <w:b/>
                <w:bCs/>
                <w:sz w:val="21"/>
                <w:szCs w:val="21"/>
              </w:rPr>
              <w:t>禁止使用类物质</w:t>
            </w:r>
          </w:p>
        </w:tc>
        <w:tc>
          <w:tcPr>
            <w:tcW w:w="1020" w:type="dxa"/>
            <w:noWrap w:val="0"/>
            <w:vAlign w:val="center"/>
          </w:tcPr>
          <w:p w14:paraId="7EE25EA4">
            <w:pPr>
              <w:spacing w:before="20" w:after="20" w:line="300" w:lineRule="auto"/>
              <w:jc w:val="center"/>
              <w:rPr>
                <w:rFonts w:hint="eastAsia" w:ascii="宋体" w:hAnsi="宋体" w:eastAsia="宋体"/>
                <w:b/>
                <w:bCs/>
              </w:rPr>
            </w:pPr>
            <w:r>
              <w:rPr>
                <w:rFonts w:ascii="宋体" w:hAnsi="宋体" w:eastAsia="宋体"/>
                <w:b/>
                <w:bCs/>
                <w:sz w:val="21"/>
                <w:szCs w:val="21"/>
              </w:rPr>
              <w:t>5</w:t>
            </w:r>
          </w:p>
        </w:tc>
      </w:tr>
      <w:tr w14:paraId="4A8D7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restart"/>
            <w:noWrap w:val="0"/>
            <w:vAlign w:val="center"/>
          </w:tcPr>
          <w:p w14:paraId="179F42FF">
            <w:pPr>
              <w:autoSpaceDE w:val="0"/>
              <w:autoSpaceDN w:val="0"/>
              <w:spacing w:line="316" w:lineRule="exact"/>
              <w:jc w:val="center"/>
              <w:textAlignment w:val="baseline"/>
              <w:rPr>
                <w:rFonts w:hint="eastAsia" w:ascii="宋体" w:hAnsi="宋体" w:eastAsia="宋体"/>
                <w:b/>
                <w:bCs/>
                <w:sz w:val="21"/>
                <w:szCs w:val="21"/>
              </w:rPr>
            </w:pPr>
            <w:r>
              <w:rPr>
                <w:rFonts w:ascii="宋体" w:hAnsi="宋体" w:eastAsia="宋体"/>
                <w:b/>
                <w:bCs/>
                <w:sz w:val="21"/>
                <w:szCs w:val="21"/>
              </w:rPr>
              <w:t>违法行为</w:t>
            </w:r>
          </w:p>
          <w:p w14:paraId="0FCD9550">
            <w:pPr>
              <w:spacing w:before="20" w:after="20" w:line="300" w:lineRule="auto"/>
              <w:jc w:val="center"/>
              <w:rPr>
                <w:rFonts w:hint="eastAsia" w:ascii="宋体" w:hAnsi="宋体" w:eastAsia="宋体"/>
                <w:b/>
                <w:bCs/>
              </w:rPr>
            </w:pPr>
            <w:r>
              <w:rPr>
                <w:rFonts w:ascii="宋体" w:hAnsi="宋体" w:eastAsia="宋体"/>
                <w:b/>
                <w:bCs/>
                <w:sz w:val="21"/>
                <w:szCs w:val="21"/>
              </w:rPr>
              <w:t>持续时间</w:t>
            </w:r>
          </w:p>
        </w:tc>
        <w:tc>
          <w:tcPr>
            <w:tcW w:w="7087" w:type="dxa"/>
            <w:noWrap w:val="0"/>
            <w:vAlign w:val="center"/>
          </w:tcPr>
          <w:p w14:paraId="7E1C2589">
            <w:pPr>
              <w:spacing w:before="20" w:after="20" w:line="300" w:lineRule="auto"/>
              <w:rPr>
                <w:rFonts w:hint="eastAsia" w:ascii="宋体" w:hAnsi="宋体" w:eastAsia="宋体"/>
                <w:b/>
                <w:bCs/>
                <w:sz w:val="21"/>
                <w:szCs w:val="21"/>
              </w:rPr>
            </w:pPr>
            <w:r>
              <w:rPr>
                <w:rFonts w:hint="eastAsia" w:ascii="宋体" w:hAnsi="宋体" w:eastAsia="宋体"/>
                <w:b/>
                <w:bCs/>
                <w:sz w:val="21"/>
                <w:szCs w:val="21"/>
              </w:rPr>
              <w:t>不足</w:t>
            </w:r>
            <w:r>
              <w:rPr>
                <w:rFonts w:ascii="宋体" w:hAnsi="宋体" w:eastAsia="宋体"/>
                <w:b/>
                <w:bCs/>
                <w:sz w:val="21"/>
                <w:szCs w:val="21"/>
              </w:rPr>
              <w:t>1个月</w:t>
            </w:r>
          </w:p>
        </w:tc>
        <w:tc>
          <w:tcPr>
            <w:tcW w:w="1020" w:type="dxa"/>
            <w:noWrap w:val="0"/>
            <w:vAlign w:val="center"/>
          </w:tcPr>
          <w:p w14:paraId="2BAAE0E9">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1</w:t>
            </w:r>
          </w:p>
        </w:tc>
      </w:tr>
      <w:tr w14:paraId="50F8A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0129AE16">
            <w:pPr>
              <w:spacing w:before="20" w:after="20" w:line="300" w:lineRule="auto"/>
              <w:jc w:val="center"/>
              <w:rPr>
                <w:rFonts w:hint="eastAsia" w:ascii="宋体" w:hAnsi="宋体" w:eastAsia="宋体"/>
                <w:b/>
                <w:bCs/>
              </w:rPr>
            </w:pPr>
          </w:p>
        </w:tc>
        <w:tc>
          <w:tcPr>
            <w:tcW w:w="7087" w:type="dxa"/>
            <w:noWrap w:val="0"/>
            <w:vAlign w:val="center"/>
          </w:tcPr>
          <w:p w14:paraId="3E51CD17">
            <w:pPr>
              <w:spacing w:before="20" w:after="20" w:line="300" w:lineRule="auto"/>
              <w:rPr>
                <w:rFonts w:hint="eastAsia" w:ascii="宋体" w:hAnsi="宋体" w:eastAsia="宋体"/>
                <w:b/>
                <w:bCs/>
                <w:sz w:val="21"/>
                <w:szCs w:val="21"/>
              </w:rPr>
            </w:pPr>
            <w:r>
              <w:rPr>
                <w:rFonts w:ascii="宋体" w:hAnsi="宋体" w:eastAsia="宋体"/>
                <w:b/>
                <w:bCs/>
                <w:sz w:val="21"/>
                <w:szCs w:val="21"/>
              </w:rPr>
              <w:t>1个月以上不足3个月</w:t>
            </w:r>
          </w:p>
        </w:tc>
        <w:tc>
          <w:tcPr>
            <w:tcW w:w="1020" w:type="dxa"/>
            <w:noWrap w:val="0"/>
            <w:vAlign w:val="center"/>
          </w:tcPr>
          <w:p w14:paraId="6DB8E5DE">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2</w:t>
            </w:r>
          </w:p>
        </w:tc>
      </w:tr>
      <w:tr w14:paraId="24765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0AD4A64D">
            <w:pPr>
              <w:spacing w:before="20" w:after="20" w:line="300" w:lineRule="auto"/>
              <w:jc w:val="center"/>
              <w:rPr>
                <w:rFonts w:hint="eastAsia" w:ascii="宋体" w:hAnsi="宋体" w:eastAsia="宋体"/>
                <w:b/>
                <w:bCs/>
              </w:rPr>
            </w:pPr>
          </w:p>
        </w:tc>
        <w:tc>
          <w:tcPr>
            <w:tcW w:w="7087" w:type="dxa"/>
            <w:noWrap w:val="0"/>
            <w:vAlign w:val="center"/>
          </w:tcPr>
          <w:p w14:paraId="65DBBB02">
            <w:pPr>
              <w:spacing w:before="20" w:after="20" w:line="300" w:lineRule="auto"/>
              <w:rPr>
                <w:rFonts w:hint="eastAsia" w:ascii="宋体" w:hAnsi="宋体" w:eastAsia="宋体"/>
                <w:b/>
                <w:bCs/>
                <w:sz w:val="21"/>
                <w:szCs w:val="21"/>
              </w:rPr>
            </w:pPr>
            <w:r>
              <w:rPr>
                <w:rFonts w:ascii="宋体" w:hAnsi="宋体" w:eastAsia="宋体"/>
                <w:b/>
                <w:bCs/>
                <w:sz w:val="21"/>
                <w:szCs w:val="21"/>
              </w:rPr>
              <w:t>3个月以上不足6个月</w:t>
            </w:r>
          </w:p>
        </w:tc>
        <w:tc>
          <w:tcPr>
            <w:tcW w:w="1020" w:type="dxa"/>
            <w:noWrap w:val="0"/>
            <w:vAlign w:val="center"/>
          </w:tcPr>
          <w:p w14:paraId="67C11B9B">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3</w:t>
            </w:r>
          </w:p>
        </w:tc>
      </w:tr>
      <w:tr w14:paraId="40975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53B40A1E">
            <w:pPr>
              <w:spacing w:before="20" w:after="20" w:line="300" w:lineRule="auto"/>
              <w:jc w:val="center"/>
              <w:rPr>
                <w:rFonts w:hint="eastAsia" w:ascii="宋体" w:hAnsi="宋体" w:eastAsia="宋体"/>
                <w:b/>
                <w:bCs/>
              </w:rPr>
            </w:pPr>
          </w:p>
        </w:tc>
        <w:tc>
          <w:tcPr>
            <w:tcW w:w="7087" w:type="dxa"/>
            <w:noWrap w:val="0"/>
            <w:vAlign w:val="center"/>
          </w:tcPr>
          <w:p w14:paraId="0F4CCD99">
            <w:pPr>
              <w:spacing w:before="20" w:after="20" w:line="300" w:lineRule="auto"/>
              <w:rPr>
                <w:rFonts w:hint="eastAsia" w:ascii="宋体" w:hAnsi="宋体" w:eastAsia="宋体"/>
                <w:b/>
                <w:bCs/>
                <w:sz w:val="21"/>
                <w:szCs w:val="21"/>
              </w:rPr>
            </w:pPr>
            <w:r>
              <w:rPr>
                <w:rFonts w:ascii="宋体" w:hAnsi="宋体" w:eastAsia="宋体"/>
                <w:b/>
                <w:bCs/>
                <w:sz w:val="21"/>
                <w:szCs w:val="21"/>
              </w:rPr>
              <w:t>6个月以上不足1年</w:t>
            </w:r>
          </w:p>
        </w:tc>
        <w:tc>
          <w:tcPr>
            <w:tcW w:w="1020" w:type="dxa"/>
            <w:noWrap w:val="0"/>
            <w:vAlign w:val="center"/>
          </w:tcPr>
          <w:p w14:paraId="717E8C2D">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4</w:t>
            </w:r>
          </w:p>
        </w:tc>
      </w:tr>
      <w:tr w14:paraId="40BD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7B566225">
            <w:pPr>
              <w:spacing w:before="20" w:after="20" w:line="300" w:lineRule="auto"/>
              <w:jc w:val="center"/>
              <w:rPr>
                <w:rFonts w:hint="eastAsia" w:ascii="宋体" w:hAnsi="宋体" w:eastAsia="宋体"/>
                <w:b/>
                <w:bCs/>
              </w:rPr>
            </w:pPr>
          </w:p>
        </w:tc>
        <w:tc>
          <w:tcPr>
            <w:tcW w:w="7087" w:type="dxa"/>
            <w:noWrap w:val="0"/>
            <w:vAlign w:val="center"/>
          </w:tcPr>
          <w:p w14:paraId="78A7D516">
            <w:pPr>
              <w:spacing w:before="20" w:after="20" w:line="300" w:lineRule="auto"/>
              <w:rPr>
                <w:rFonts w:hint="eastAsia" w:ascii="宋体" w:hAnsi="宋体" w:eastAsia="宋体"/>
                <w:b/>
                <w:bCs/>
                <w:sz w:val="21"/>
                <w:szCs w:val="21"/>
              </w:rPr>
            </w:pPr>
            <w:r>
              <w:rPr>
                <w:rFonts w:ascii="宋体" w:hAnsi="宋体" w:eastAsia="宋体"/>
                <w:b/>
                <w:bCs/>
                <w:sz w:val="21"/>
                <w:szCs w:val="21"/>
              </w:rPr>
              <w:t>1年以上</w:t>
            </w:r>
          </w:p>
        </w:tc>
        <w:tc>
          <w:tcPr>
            <w:tcW w:w="1020" w:type="dxa"/>
            <w:noWrap w:val="0"/>
            <w:vAlign w:val="center"/>
          </w:tcPr>
          <w:p w14:paraId="784F9996">
            <w:pPr>
              <w:spacing w:before="20" w:after="20" w:line="300" w:lineRule="auto"/>
              <w:jc w:val="center"/>
              <w:rPr>
                <w:rFonts w:hint="eastAsia" w:ascii="宋体" w:hAnsi="宋体" w:eastAsia="宋体"/>
                <w:b/>
                <w:bCs/>
                <w:sz w:val="21"/>
                <w:szCs w:val="21"/>
              </w:rPr>
            </w:pPr>
            <w:r>
              <w:rPr>
                <w:rFonts w:hint="eastAsia" w:ascii="宋体" w:hAnsi="宋体" w:eastAsia="宋体"/>
                <w:b/>
                <w:bCs/>
                <w:sz w:val="21"/>
                <w:szCs w:val="21"/>
              </w:rPr>
              <w:t>5</w:t>
            </w:r>
          </w:p>
        </w:tc>
      </w:tr>
      <w:tr w14:paraId="1C6AC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restart"/>
            <w:noWrap w:val="0"/>
            <w:vAlign w:val="center"/>
          </w:tcPr>
          <w:p w14:paraId="27C3A65B">
            <w:pPr>
              <w:autoSpaceDE w:val="0"/>
              <w:autoSpaceDN w:val="0"/>
              <w:spacing w:line="316" w:lineRule="exact"/>
              <w:jc w:val="center"/>
              <w:textAlignment w:val="baseline"/>
              <w:rPr>
                <w:rFonts w:hint="eastAsia" w:ascii="宋体" w:hAnsi="宋体" w:eastAsia="宋体"/>
                <w:b/>
                <w:bCs/>
                <w:sz w:val="21"/>
                <w:szCs w:val="21"/>
              </w:rPr>
            </w:pPr>
            <w:r>
              <w:rPr>
                <w:rFonts w:ascii="宋体" w:hAnsi="宋体" w:eastAsia="宋体"/>
                <w:b/>
                <w:bCs/>
                <w:sz w:val="21"/>
                <w:szCs w:val="21"/>
              </w:rPr>
              <w:t>造成后果</w:t>
            </w:r>
          </w:p>
        </w:tc>
        <w:tc>
          <w:tcPr>
            <w:tcW w:w="7087" w:type="dxa"/>
            <w:noWrap w:val="0"/>
            <w:vAlign w:val="center"/>
          </w:tcPr>
          <w:p w14:paraId="38834C81">
            <w:pPr>
              <w:spacing w:before="20" w:after="20" w:line="300" w:lineRule="auto"/>
              <w:rPr>
                <w:rFonts w:hint="eastAsia" w:ascii="宋体" w:hAnsi="宋体" w:eastAsia="宋体"/>
                <w:b/>
                <w:bCs/>
              </w:rPr>
            </w:pPr>
            <w:r>
              <w:rPr>
                <w:rFonts w:ascii="宋体" w:hAnsi="宋体" w:eastAsia="宋体"/>
                <w:b/>
                <w:bCs/>
                <w:sz w:val="21"/>
                <w:szCs w:val="21"/>
              </w:rPr>
              <w:t>未造成环境污染后果</w:t>
            </w:r>
          </w:p>
        </w:tc>
        <w:tc>
          <w:tcPr>
            <w:tcW w:w="1020" w:type="dxa"/>
            <w:noWrap w:val="0"/>
            <w:vAlign w:val="center"/>
          </w:tcPr>
          <w:p w14:paraId="11200315">
            <w:pPr>
              <w:spacing w:before="20" w:after="20" w:line="300" w:lineRule="auto"/>
              <w:jc w:val="center"/>
              <w:rPr>
                <w:rFonts w:hint="eastAsia" w:ascii="宋体" w:hAnsi="宋体" w:eastAsia="宋体"/>
                <w:b/>
                <w:bCs/>
              </w:rPr>
            </w:pPr>
            <w:r>
              <w:rPr>
                <w:rFonts w:ascii="宋体" w:hAnsi="宋体" w:eastAsia="宋体"/>
                <w:b/>
                <w:bCs/>
                <w:sz w:val="21"/>
                <w:szCs w:val="21"/>
              </w:rPr>
              <w:t>1</w:t>
            </w:r>
          </w:p>
        </w:tc>
      </w:tr>
      <w:tr w14:paraId="4962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988" w:type="dxa"/>
            <w:vMerge w:val="continue"/>
            <w:noWrap w:val="0"/>
            <w:vAlign w:val="center"/>
          </w:tcPr>
          <w:p w14:paraId="5B031FDE">
            <w:pPr>
              <w:autoSpaceDE w:val="0"/>
              <w:autoSpaceDN w:val="0"/>
              <w:spacing w:line="316" w:lineRule="exact"/>
              <w:jc w:val="center"/>
              <w:textAlignment w:val="baseline"/>
              <w:rPr>
                <w:rFonts w:hint="eastAsia" w:ascii="宋体" w:hAnsi="宋体" w:eastAsia="宋体"/>
                <w:b/>
                <w:bCs/>
                <w:sz w:val="21"/>
                <w:szCs w:val="21"/>
              </w:rPr>
            </w:pPr>
          </w:p>
        </w:tc>
        <w:tc>
          <w:tcPr>
            <w:tcW w:w="7087" w:type="dxa"/>
            <w:noWrap w:val="0"/>
            <w:vAlign w:val="center"/>
          </w:tcPr>
          <w:p w14:paraId="7A8B98BD">
            <w:pPr>
              <w:spacing w:before="20" w:after="20" w:line="300" w:lineRule="auto"/>
              <w:rPr>
                <w:rFonts w:hint="eastAsia" w:ascii="宋体" w:hAnsi="宋体" w:eastAsia="宋体"/>
                <w:b/>
                <w:bCs/>
              </w:rPr>
            </w:pPr>
            <w:r>
              <w:rPr>
                <w:rFonts w:ascii="宋体" w:hAnsi="宋体" w:eastAsia="宋体"/>
                <w:b/>
                <w:bCs/>
                <w:sz w:val="21"/>
                <w:szCs w:val="21"/>
              </w:rPr>
              <w:t>造成环境污染后果</w:t>
            </w:r>
          </w:p>
        </w:tc>
        <w:tc>
          <w:tcPr>
            <w:tcW w:w="1020" w:type="dxa"/>
            <w:noWrap w:val="0"/>
            <w:vAlign w:val="center"/>
          </w:tcPr>
          <w:p w14:paraId="021E364F">
            <w:pPr>
              <w:spacing w:before="20" w:after="20" w:line="300" w:lineRule="auto"/>
              <w:jc w:val="center"/>
              <w:rPr>
                <w:rFonts w:hint="eastAsia" w:ascii="宋体" w:hAnsi="宋体" w:eastAsia="宋体"/>
                <w:b/>
                <w:bCs/>
              </w:rPr>
            </w:pPr>
            <w:r>
              <w:rPr>
                <w:rFonts w:ascii="宋体" w:hAnsi="宋体" w:eastAsia="宋体"/>
                <w:b/>
                <w:bCs/>
                <w:sz w:val="21"/>
                <w:szCs w:val="21"/>
              </w:rPr>
              <w:t>5</w:t>
            </w:r>
          </w:p>
        </w:tc>
      </w:tr>
    </w:tbl>
    <w:p w14:paraId="3699B9B8">
      <w:pPr>
        <w:spacing w:before="40" w:after="40" w:line="400" w:lineRule="auto"/>
        <w:jc w:val="both"/>
        <w:rPr>
          <w:rFonts w:ascii="Times New Roman" w:hAnsi="Times New Roman" w:eastAsia="黑体"/>
          <w:b/>
          <w:sz w:val="24"/>
        </w:rPr>
      </w:pPr>
    </w:p>
    <w:p w14:paraId="686B8AA2">
      <w:pPr>
        <w:spacing w:after="120" w:afterLines="50" w:line="480" w:lineRule="exact"/>
        <w:rPr>
          <w:rFonts w:ascii="Times New Roman" w:hAnsi="Times New Roman" w:eastAsia="黑体"/>
          <w:sz w:val="28"/>
          <w:szCs w:val="28"/>
        </w:rPr>
      </w:pPr>
      <w:r>
        <w:rPr>
          <w:rFonts w:ascii="Times New Roman" w:hAnsi="Times New Roman" w:eastAsia="黑体"/>
          <w:sz w:val="28"/>
          <w:szCs w:val="28"/>
        </w:rPr>
        <w:t>二、</w:t>
      </w:r>
      <w:bookmarkStart w:id="36" w:name="OLE_LINK12"/>
      <w:r>
        <w:rPr>
          <w:rFonts w:ascii="Times New Roman" w:hAnsi="Times New Roman" w:eastAsia="黑体"/>
          <w:sz w:val="28"/>
          <w:szCs w:val="28"/>
        </w:rPr>
        <w:t>违法行为共性裁量基准</w:t>
      </w:r>
      <w:bookmarkEnd w:id="36"/>
    </w:p>
    <w:tbl>
      <w:tblPr>
        <w:tblStyle w:val="8"/>
        <w:tblW w:w="9026" w:type="dxa"/>
        <w:tblInd w:w="10" w:type="dxa"/>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970"/>
        <w:gridCol w:w="5953"/>
        <w:gridCol w:w="1103"/>
      </w:tblGrid>
      <w:tr w14:paraId="1F21B782">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0" w:type="dxa"/>
            <w:noWrap w:val="0"/>
            <w:vAlign w:val="center"/>
          </w:tcPr>
          <w:p w14:paraId="55F37ADB">
            <w:pPr>
              <w:spacing w:before="20" w:after="20" w:line="300" w:lineRule="auto"/>
              <w:jc w:val="center"/>
              <w:rPr>
                <w:rFonts w:hint="eastAsia"/>
              </w:rPr>
            </w:pPr>
            <w:r>
              <w:rPr>
                <w:rFonts w:ascii="Times New Roman" w:hAnsi="Times New Roman" w:eastAsia="宋体"/>
                <w:b/>
                <w:sz w:val="21"/>
                <w:szCs w:val="21"/>
              </w:rPr>
              <w:t>裁量因素</w:t>
            </w:r>
          </w:p>
        </w:tc>
        <w:tc>
          <w:tcPr>
            <w:tcW w:w="5953" w:type="dxa"/>
            <w:noWrap w:val="0"/>
            <w:vAlign w:val="center"/>
          </w:tcPr>
          <w:p w14:paraId="16881B05">
            <w:pPr>
              <w:spacing w:before="20" w:after="20" w:line="300" w:lineRule="auto"/>
              <w:jc w:val="center"/>
              <w:rPr>
                <w:rFonts w:hint="eastAsia"/>
              </w:rPr>
            </w:pPr>
            <w:r>
              <w:rPr>
                <w:rFonts w:ascii="Times New Roman" w:hAnsi="Times New Roman" w:eastAsia="宋体"/>
                <w:b/>
                <w:sz w:val="21"/>
                <w:szCs w:val="21"/>
              </w:rPr>
              <w:t>裁量因子</w:t>
            </w:r>
          </w:p>
        </w:tc>
        <w:tc>
          <w:tcPr>
            <w:tcW w:w="1103" w:type="dxa"/>
            <w:noWrap w:val="0"/>
            <w:vAlign w:val="center"/>
          </w:tcPr>
          <w:p w14:paraId="7CB0940D">
            <w:pPr>
              <w:spacing w:before="20" w:after="20" w:line="300" w:lineRule="auto"/>
              <w:jc w:val="center"/>
              <w:rPr>
                <w:rFonts w:hint="eastAsia"/>
              </w:rPr>
            </w:pPr>
            <w:r>
              <w:rPr>
                <w:rFonts w:ascii="Times New Roman" w:hAnsi="Times New Roman" w:eastAsia="宋体"/>
                <w:b/>
                <w:sz w:val="21"/>
                <w:szCs w:val="21"/>
              </w:rPr>
              <w:t>裁量等级</w:t>
            </w:r>
          </w:p>
        </w:tc>
      </w:tr>
      <w:tr w14:paraId="26048EFC">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26" w:type="dxa"/>
            <w:gridSpan w:val="3"/>
            <w:noWrap w:val="0"/>
            <w:vAlign w:val="center"/>
          </w:tcPr>
          <w:p w14:paraId="7086086C">
            <w:pPr>
              <w:spacing w:before="20" w:after="20" w:line="300" w:lineRule="auto"/>
              <w:jc w:val="center"/>
              <w:rPr>
                <w:rFonts w:ascii="Times New Roman" w:hAnsi="Times New Roman" w:eastAsia="宋体"/>
                <w:b/>
                <w:bCs/>
                <w:sz w:val="21"/>
                <w:szCs w:val="21"/>
              </w:rPr>
            </w:pPr>
            <w:r>
              <w:rPr>
                <w:rFonts w:hint="eastAsia" w:ascii="Times New Roman" w:hAnsi="Times New Roman" w:eastAsia="宋体"/>
                <w:b/>
                <w:bCs/>
                <w:sz w:val="21"/>
                <w:szCs w:val="21"/>
              </w:rPr>
              <w:t>适用于所有处罚情形</w:t>
            </w:r>
          </w:p>
        </w:tc>
      </w:tr>
      <w:tr w14:paraId="61A8A29A">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0" w:type="dxa"/>
            <w:vMerge w:val="restart"/>
            <w:noWrap w:val="0"/>
            <w:vAlign w:val="center"/>
          </w:tcPr>
          <w:p w14:paraId="59405E05">
            <w:pPr>
              <w:spacing w:before="20" w:after="20" w:line="300" w:lineRule="auto"/>
              <w:jc w:val="center"/>
              <w:rPr>
                <w:rFonts w:hint="eastAsia"/>
                <w:b/>
                <w:bCs/>
              </w:rPr>
            </w:pPr>
            <w:r>
              <w:rPr>
                <w:rFonts w:ascii="Times New Roman" w:hAnsi="Times New Roman" w:eastAsia="宋体"/>
                <w:b/>
                <w:bCs/>
                <w:sz w:val="21"/>
                <w:szCs w:val="21"/>
              </w:rPr>
              <w:t>环境违法行为次数（两年内，含本次）</w:t>
            </w:r>
          </w:p>
        </w:tc>
        <w:tc>
          <w:tcPr>
            <w:tcW w:w="5953" w:type="dxa"/>
            <w:noWrap w:val="0"/>
            <w:vAlign w:val="center"/>
          </w:tcPr>
          <w:p w14:paraId="3FEB2142">
            <w:pPr>
              <w:spacing w:before="20" w:after="20" w:line="300" w:lineRule="auto"/>
              <w:rPr>
                <w:rFonts w:hint="eastAsia"/>
              </w:rPr>
            </w:pPr>
            <w:r>
              <w:rPr>
                <w:rFonts w:ascii="Times New Roman" w:hAnsi="Times New Roman" w:eastAsia="宋体"/>
                <w:sz w:val="21"/>
                <w:szCs w:val="21"/>
              </w:rPr>
              <w:t>1次</w:t>
            </w:r>
          </w:p>
        </w:tc>
        <w:tc>
          <w:tcPr>
            <w:tcW w:w="1103" w:type="dxa"/>
            <w:noWrap w:val="0"/>
            <w:vAlign w:val="center"/>
          </w:tcPr>
          <w:p w14:paraId="00B533D5">
            <w:pPr>
              <w:spacing w:before="20" w:after="20" w:line="300" w:lineRule="auto"/>
              <w:jc w:val="center"/>
              <w:rPr>
                <w:rFonts w:hint="eastAsia"/>
              </w:rPr>
            </w:pPr>
            <w:r>
              <w:rPr>
                <w:rFonts w:ascii="Times New Roman" w:hAnsi="Times New Roman" w:eastAsia="宋体"/>
                <w:sz w:val="21"/>
                <w:szCs w:val="21"/>
              </w:rPr>
              <w:t>1</w:t>
            </w:r>
          </w:p>
        </w:tc>
      </w:tr>
      <w:tr w14:paraId="47654003">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0" w:type="dxa"/>
            <w:vMerge w:val="continue"/>
            <w:noWrap w:val="0"/>
            <w:vAlign w:val="center"/>
          </w:tcPr>
          <w:p w14:paraId="337510BB">
            <w:pPr>
              <w:spacing w:before="20" w:after="20" w:line="300" w:lineRule="auto"/>
              <w:jc w:val="center"/>
              <w:rPr>
                <w:rFonts w:hint="eastAsia"/>
                <w:b/>
                <w:bCs/>
              </w:rPr>
            </w:pPr>
          </w:p>
        </w:tc>
        <w:tc>
          <w:tcPr>
            <w:tcW w:w="5953" w:type="dxa"/>
            <w:noWrap w:val="0"/>
            <w:vAlign w:val="center"/>
          </w:tcPr>
          <w:p w14:paraId="403E1049">
            <w:pPr>
              <w:spacing w:before="20" w:after="20" w:line="300" w:lineRule="auto"/>
              <w:rPr>
                <w:rFonts w:hint="eastAsia"/>
              </w:rPr>
            </w:pPr>
            <w:r>
              <w:rPr>
                <w:rFonts w:ascii="Times New Roman" w:hAnsi="Times New Roman" w:eastAsia="宋体"/>
                <w:sz w:val="21"/>
                <w:szCs w:val="21"/>
              </w:rPr>
              <w:t>2次</w:t>
            </w:r>
          </w:p>
        </w:tc>
        <w:tc>
          <w:tcPr>
            <w:tcW w:w="1103" w:type="dxa"/>
            <w:noWrap w:val="0"/>
            <w:vAlign w:val="center"/>
          </w:tcPr>
          <w:p w14:paraId="68B7DCB4">
            <w:pPr>
              <w:spacing w:before="20" w:after="20" w:line="300" w:lineRule="auto"/>
              <w:jc w:val="center"/>
              <w:rPr>
                <w:rFonts w:hint="eastAsia"/>
              </w:rPr>
            </w:pPr>
            <w:r>
              <w:rPr>
                <w:rFonts w:ascii="Times New Roman" w:hAnsi="Times New Roman" w:eastAsia="宋体"/>
                <w:sz w:val="21"/>
                <w:szCs w:val="21"/>
              </w:rPr>
              <w:t>2</w:t>
            </w:r>
          </w:p>
        </w:tc>
      </w:tr>
      <w:tr w14:paraId="6A2AF965">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0" w:type="dxa"/>
            <w:vMerge w:val="continue"/>
            <w:noWrap w:val="0"/>
            <w:vAlign w:val="center"/>
          </w:tcPr>
          <w:p w14:paraId="1A2430B5">
            <w:pPr>
              <w:spacing w:before="20" w:after="20" w:line="300" w:lineRule="auto"/>
              <w:jc w:val="center"/>
              <w:rPr>
                <w:rFonts w:hint="eastAsia"/>
                <w:b/>
                <w:bCs/>
              </w:rPr>
            </w:pPr>
          </w:p>
        </w:tc>
        <w:tc>
          <w:tcPr>
            <w:tcW w:w="5953" w:type="dxa"/>
            <w:noWrap w:val="0"/>
            <w:vAlign w:val="center"/>
          </w:tcPr>
          <w:p w14:paraId="26F28CE7">
            <w:pPr>
              <w:spacing w:before="20" w:after="20" w:line="300" w:lineRule="auto"/>
              <w:rPr>
                <w:rFonts w:hint="eastAsia"/>
              </w:rPr>
            </w:pPr>
            <w:r>
              <w:rPr>
                <w:rFonts w:ascii="Times New Roman" w:hAnsi="Times New Roman" w:eastAsia="宋体"/>
                <w:sz w:val="21"/>
                <w:szCs w:val="21"/>
              </w:rPr>
              <w:t>3次</w:t>
            </w:r>
          </w:p>
        </w:tc>
        <w:tc>
          <w:tcPr>
            <w:tcW w:w="1103" w:type="dxa"/>
            <w:noWrap w:val="0"/>
            <w:vAlign w:val="center"/>
          </w:tcPr>
          <w:p w14:paraId="1F0B48A1">
            <w:pPr>
              <w:spacing w:before="20" w:after="20" w:line="300" w:lineRule="auto"/>
              <w:jc w:val="center"/>
              <w:rPr>
                <w:rFonts w:hint="eastAsia"/>
              </w:rPr>
            </w:pPr>
            <w:r>
              <w:rPr>
                <w:rFonts w:ascii="Times New Roman" w:hAnsi="Times New Roman" w:eastAsia="宋体"/>
                <w:sz w:val="21"/>
                <w:szCs w:val="21"/>
              </w:rPr>
              <w:t>4</w:t>
            </w:r>
          </w:p>
        </w:tc>
      </w:tr>
      <w:tr w14:paraId="61ED26C0">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0" w:type="dxa"/>
            <w:vMerge w:val="continue"/>
            <w:noWrap w:val="0"/>
            <w:vAlign w:val="center"/>
          </w:tcPr>
          <w:p w14:paraId="5F52B5B0">
            <w:pPr>
              <w:spacing w:before="20" w:after="20" w:line="300" w:lineRule="auto"/>
              <w:jc w:val="center"/>
              <w:rPr>
                <w:rFonts w:hint="eastAsia"/>
                <w:b/>
                <w:bCs/>
              </w:rPr>
            </w:pPr>
          </w:p>
        </w:tc>
        <w:tc>
          <w:tcPr>
            <w:tcW w:w="5953" w:type="dxa"/>
            <w:noWrap w:val="0"/>
            <w:vAlign w:val="center"/>
          </w:tcPr>
          <w:p w14:paraId="724BBD5A">
            <w:pPr>
              <w:spacing w:before="20" w:after="20" w:line="300" w:lineRule="auto"/>
              <w:rPr>
                <w:rFonts w:hint="eastAsia"/>
              </w:rPr>
            </w:pPr>
            <w:r>
              <w:rPr>
                <w:rFonts w:ascii="Times New Roman" w:hAnsi="Times New Roman" w:eastAsia="宋体"/>
                <w:sz w:val="21"/>
                <w:szCs w:val="21"/>
              </w:rPr>
              <w:t>3次以上</w:t>
            </w:r>
          </w:p>
        </w:tc>
        <w:tc>
          <w:tcPr>
            <w:tcW w:w="1103" w:type="dxa"/>
            <w:noWrap w:val="0"/>
            <w:vAlign w:val="center"/>
          </w:tcPr>
          <w:p w14:paraId="3F668756">
            <w:pPr>
              <w:spacing w:before="20" w:after="20" w:line="300" w:lineRule="auto"/>
              <w:jc w:val="center"/>
              <w:rPr>
                <w:rFonts w:hint="eastAsia"/>
              </w:rPr>
            </w:pPr>
            <w:r>
              <w:rPr>
                <w:rFonts w:ascii="Times New Roman" w:hAnsi="Times New Roman" w:eastAsia="宋体"/>
                <w:sz w:val="21"/>
                <w:szCs w:val="21"/>
              </w:rPr>
              <w:t>5</w:t>
            </w:r>
          </w:p>
        </w:tc>
      </w:tr>
      <w:tr w14:paraId="1A04EA40">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0" w:type="dxa"/>
            <w:vMerge w:val="restart"/>
            <w:noWrap w:val="0"/>
            <w:vAlign w:val="center"/>
          </w:tcPr>
          <w:p w14:paraId="7C7C594E">
            <w:pPr>
              <w:spacing w:before="20" w:after="20" w:line="300" w:lineRule="auto"/>
              <w:jc w:val="center"/>
              <w:rPr>
                <w:rFonts w:hint="eastAsia"/>
                <w:b/>
                <w:bCs/>
              </w:rPr>
            </w:pPr>
            <w:r>
              <w:rPr>
                <w:rFonts w:ascii="Times New Roman" w:hAnsi="Times New Roman" w:eastAsia="宋体"/>
                <w:b/>
                <w:bCs/>
                <w:sz w:val="21"/>
                <w:szCs w:val="21"/>
              </w:rPr>
              <w:t>区域影响/引发关注</w:t>
            </w:r>
          </w:p>
        </w:tc>
        <w:tc>
          <w:tcPr>
            <w:tcW w:w="5953" w:type="dxa"/>
            <w:noWrap w:val="0"/>
            <w:vAlign w:val="center"/>
          </w:tcPr>
          <w:p w14:paraId="42FFD368">
            <w:pPr>
              <w:spacing w:before="20" w:after="20" w:line="300" w:lineRule="auto"/>
              <w:rPr>
                <w:rFonts w:hint="eastAsia"/>
              </w:rPr>
            </w:pPr>
            <w:r>
              <w:rPr>
                <w:rFonts w:ascii="Times New Roman" w:hAnsi="Times New Roman" w:eastAsia="宋体"/>
                <w:sz w:val="21"/>
                <w:szCs w:val="21"/>
              </w:rPr>
              <w:t>县级行政区域内</w:t>
            </w:r>
          </w:p>
        </w:tc>
        <w:tc>
          <w:tcPr>
            <w:tcW w:w="1103" w:type="dxa"/>
            <w:noWrap w:val="0"/>
            <w:vAlign w:val="center"/>
          </w:tcPr>
          <w:p w14:paraId="29C4F54A">
            <w:pPr>
              <w:spacing w:before="20" w:after="20" w:line="300" w:lineRule="auto"/>
              <w:jc w:val="center"/>
              <w:rPr>
                <w:rFonts w:hint="eastAsia"/>
              </w:rPr>
            </w:pPr>
            <w:r>
              <w:rPr>
                <w:rFonts w:ascii="Times New Roman" w:hAnsi="Times New Roman" w:eastAsia="宋体"/>
                <w:sz w:val="21"/>
                <w:szCs w:val="21"/>
              </w:rPr>
              <w:t>1</w:t>
            </w:r>
          </w:p>
        </w:tc>
      </w:tr>
      <w:tr w14:paraId="4C3EC5C5">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0" w:type="dxa"/>
            <w:vMerge w:val="continue"/>
            <w:noWrap w:val="0"/>
            <w:vAlign w:val="center"/>
          </w:tcPr>
          <w:p w14:paraId="27AE0785">
            <w:pPr>
              <w:spacing w:before="20" w:after="20" w:line="300" w:lineRule="auto"/>
              <w:rPr>
                <w:rFonts w:hint="eastAsia"/>
              </w:rPr>
            </w:pPr>
          </w:p>
        </w:tc>
        <w:tc>
          <w:tcPr>
            <w:tcW w:w="5953" w:type="dxa"/>
            <w:noWrap w:val="0"/>
            <w:vAlign w:val="center"/>
          </w:tcPr>
          <w:p w14:paraId="75E02C00">
            <w:pPr>
              <w:spacing w:before="20" w:after="20" w:line="300" w:lineRule="auto"/>
              <w:rPr>
                <w:rFonts w:hint="eastAsia"/>
              </w:rPr>
            </w:pPr>
            <w:r>
              <w:rPr>
                <w:rFonts w:ascii="Times New Roman" w:hAnsi="Times New Roman" w:eastAsia="宋体"/>
                <w:sz w:val="21"/>
                <w:szCs w:val="21"/>
              </w:rPr>
              <w:t>跨县级行政区域</w:t>
            </w:r>
          </w:p>
        </w:tc>
        <w:tc>
          <w:tcPr>
            <w:tcW w:w="1103" w:type="dxa"/>
            <w:noWrap w:val="0"/>
            <w:vAlign w:val="center"/>
          </w:tcPr>
          <w:p w14:paraId="04C27EC0">
            <w:pPr>
              <w:spacing w:before="20" w:after="20" w:line="300" w:lineRule="auto"/>
              <w:jc w:val="center"/>
              <w:rPr>
                <w:rFonts w:hint="eastAsia"/>
              </w:rPr>
            </w:pPr>
            <w:r>
              <w:rPr>
                <w:rFonts w:ascii="Times New Roman" w:hAnsi="Times New Roman" w:eastAsia="宋体"/>
                <w:sz w:val="21"/>
                <w:szCs w:val="21"/>
              </w:rPr>
              <w:t>3</w:t>
            </w:r>
          </w:p>
        </w:tc>
      </w:tr>
      <w:tr w14:paraId="3431E43E">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0" w:type="dxa"/>
            <w:vMerge w:val="continue"/>
            <w:noWrap w:val="0"/>
            <w:vAlign w:val="center"/>
          </w:tcPr>
          <w:p w14:paraId="6480DC9F">
            <w:pPr>
              <w:spacing w:before="20" w:after="20" w:line="300" w:lineRule="auto"/>
              <w:rPr>
                <w:rFonts w:hint="eastAsia"/>
              </w:rPr>
            </w:pPr>
          </w:p>
        </w:tc>
        <w:tc>
          <w:tcPr>
            <w:tcW w:w="5953" w:type="dxa"/>
            <w:noWrap w:val="0"/>
            <w:vAlign w:val="center"/>
          </w:tcPr>
          <w:p w14:paraId="159A2339">
            <w:pPr>
              <w:spacing w:before="20" w:after="20" w:line="300" w:lineRule="auto"/>
              <w:rPr>
                <w:rFonts w:hint="eastAsia"/>
              </w:rPr>
            </w:pPr>
            <w:r>
              <w:rPr>
                <w:rFonts w:ascii="Times New Roman" w:hAnsi="Times New Roman" w:eastAsia="宋体"/>
                <w:sz w:val="21"/>
                <w:szCs w:val="21"/>
              </w:rPr>
              <w:t>跨州、市（指设区的市）级行政区域</w:t>
            </w:r>
          </w:p>
        </w:tc>
        <w:tc>
          <w:tcPr>
            <w:tcW w:w="1103" w:type="dxa"/>
            <w:noWrap w:val="0"/>
            <w:vAlign w:val="center"/>
          </w:tcPr>
          <w:p w14:paraId="6BAFCD2C">
            <w:pPr>
              <w:spacing w:before="20" w:after="20" w:line="300" w:lineRule="auto"/>
              <w:jc w:val="center"/>
              <w:rPr>
                <w:rFonts w:hint="eastAsia"/>
              </w:rPr>
            </w:pPr>
            <w:r>
              <w:rPr>
                <w:rFonts w:ascii="Times New Roman" w:hAnsi="Times New Roman" w:eastAsia="宋体"/>
                <w:sz w:val="21"/>
                <w:szCs w:val="21"/>
              </w:rPr>
              <w:t>4</w:t>
            </w:r>
          </w:p>
        </w:tc>
      </w:tr>
      <w:tr w14:paraId="4758FC6D">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0" w:type="dxa"/>
            <w:vMerge w:val="continue"/>
            <w:noWrap w:val="0"/>
            <w:vAlign w:val="center"/>
          </w:tcPr>
          <w:p w14:paraId="2D4F37D8">
            <w:pPr>
              <w:spacing w:before="20" w:after="20" w:line="300" w:lineRule="auto"/>
              <w:rPr>
                <w:rFonts w:hint="eastAsia"/>
              </w:rPr>
            </w:pPr>
          </w:p>
        </w:tc>
        <w:tc>
          <w:tcPr>
            <w:tcW w:w="5953" w:type="dxa"/>
            <w:noWrap w:val="0"/>
            <w:vAlign w:val="center"/>
          </w:tcPr>
          <w:p w14:paraId="306EBB50">
            <w:pPr>
              <w:spacing w:before="20" w:after="20" w:line="300" w:lineRule="auto"/>
              <w:rPr>
                <w:rFonts w:hint="eastAsia"/>
              </w:rPr>
            </w:pPr>
            <w:r>
              <w:rPr>
                <w:rFonts w:ascii="Times New Roman" w:hAnsi="Times New Roman" w:eastAsia="宋体"/>
                <w:sz w:val="21"/>
                <w:szCs w:val="21"/>
              </w:rPr>
              <w:t>跨省级行政区域、跨国</w:t>
            </w:r>
          </w:p>
        </w:tc>
        <w:tc>
          <w:tcPr>
            <w:tcW w:w="1103" w:type="dxa"/>
            <w:noWrap w:val="0"/>
            <w:vAlign w:val="center"/>
          </w:tcPr>
          <w:p w14:paraId="752B86AA">
            <w:pPr>
              <w:spacing w:before="20" w:after="20" w:line="300" w:lineRule="auto"/>
              <w:jc w:val="center"/>
              <w:rPr>
                <w:rFonts w:hint="eastAsia"/>
              </w:rPr>
            </w:pPr>
            <w:r>
              <w:rPr>
                <w:rFonts w:ascii="Times New Roman" w:hAnsi="Times New Roman" w:eastAsia="宋体"/>
                <w:sz w:val="21"/>
                <w:szCs w:val="21"/>
              </w:rPr>
              <w:t>5</w:t>
            </w:r>
          </w:p>
        </w:tc>
      </w:tr>
      <w:tr w14:paraId="2E1F94F2">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26" w:type="dxa"/>
            <w:gridSpan w:val="3"/>
            <w:noWrap w:val="0"/>
            <w:vAlign w:val="center"/>
          </w:tcPr>
          <w:p w14:paraId="2E1BECBF">
            <w:pPr>
              <w:spacing w:before="20" w:after="20" w:line="300" w:lineRule="auto"/>
              <w:jc w:val="center"/>
              <w:rPr>
                <w:rFonts w:ascii="Times New Roman" w:hAnsi="Times New Roman" w:eastAsia="宋体"/>
                <w:b/>
                <w:bCs/>
                <w:sz w:val="21"/>
                <w:szCs w:val="21"/>
                <w:highlight w:val="none"/>
              </w:rPr>
            </w:pPr>
            <w:r>
              <w:rPr>
                <w:rFonts w:hint="eastAsia" w:ascii="Times New Roman" w:hAnsi="Times New Roman" w:eastAsia="宋体"/>
                <w:b/>
                <w:bCs/>
                <w:sz w:val="21"/>
                <w:szCs w:val="21"/>
                <w:highlight w:val="none"/>
              </w:rPr>
              <w:t>仅适用于对</w:t>
            </w:r>
            <w:r>
              <w:rPr>
                <w:rFonts w:ascii="Times New Roman" w:hAnsi="Times New Roman" w:eastAsia="宋体"/>
                <w:b/>
                <w:bCs/>
                <w:sz w:val="21"/>
                <w:szCs w:val="21"/>
                <w:highlight w:val="none"/>
              </w:rPr>
              <w:t>法定代表人、主要负责人、直接负责的主管人员和其他直接责任人员</w:t>
            </w:r>
            <w:r>
              <w:rPr>
                <w:rFonts w:hint="eastAsia" w:ascii="Times New Roman" w:hAnsi="Times New Roman" w:eastAsia="宋体"/>
                <w:b/>
                <w:bCs/>
                <w:sz w:val="21"/>
                <w:szCs w:val="21"/>
                <w:highlight w:val="none"/>
              </w:rPr>
              <w:t>的处罚</w:t>
            </w:r>
          </w:p>
        </w:tc>
      </w:tr>
      <w:tr w14:paraId="154A4A20">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0" w:type="dxa"/>
            <w:vMerge w:val="restart"/>
            <w:noWrap w:val="0"/>
            <w:vAlign w:val="center"/>
          </w:tcPr>
          <w:p w14:paraId="0B1CC316">
            <w:pPr>
              <w:spacing w:before="20" w:after="20" w:line="300" w:lineRule="auto"/>
              <w:jc w:val="center"/>
              <w:rPr>
                <w:rFonts w:hint="eastAsia"/>
                <w:b/>
                <w:bCs/>
                <w:highlight w:val="none"/>
              </w:rPr>
            </w:pPr>
            <w:r>
              <w:rPr>
                <w:rFonts w:ascii="Times New Roman" w:hAnsi="Times New Roman" w:eastAsia="宋体"/>
                <w:b/>
                <w:bCs/>
                <w:sz w:val="21"/>
                <w:szCs w:val="21"/>
                <w:highlight w:val="none"/>
              </w:rPr>
              <w:t>在违法行为中的角色</w:t>
            </w:r>
          </w:p>
        </w:tc>
        <w:tc>
          <w:tcPr>
            <w:tcW w:w="5953" w:type="dxa"/>
            <w:noWrap w:val="0"/>
            <w:vAlign w:val="center"/>
          </w:tcPr>
          <w:p w14:paraId="6CC609E4">
            <w:pPr>
              <w:spacing w:before="20" w:after="20" w:line="300" w:lineRule="auto"/>
              <w:rPr>
                <w:rFonts w:ascii="Times New Roman" w:hAnsi="Times New Roman" w:eastAsia="宋体"/>
                <w:b/>
                <w:bCs/>
                <w:sz w:val="21"/>
                <w:szCs w:val="21"/>
                <w:highlight w:val="none"/>
              </w:rPr>
            </w:pPr>
            <w:r>
              <w:rPr>
                <w:rFonts w:hint="eastAsia" w:ascii="Times New Roman" w:hAnsi="Times New Roman" w:eastAsia="宋体"/>
                <w:b/>
                <w:bCs/>
                <w:sz w:val="21"/>
                <w:szCs w:val="21"/>
                <w:highlight w:val="none"/>
              </w:rPr>
              <w:t>听从指挥经办具体事宜（</w:t>
            </w:r>
            <w:r>
              <w:rPr>
                <w:rFonts w:ascii="Times New Roman" w:hAnsi="Times New Roman" w:eastAsia="宋体"/>
                <w:b/>
                <w:bCs/>
                <w:sz w:val="21"/>
                <w:szCs w:val="21"/>
              </w:rPr>
              <w:t>直接排放、倾倒、处置污染物或者篡改、伪造监测数据</w:t>
            </w:r>
            <w:r>
              <w:rPr>
                <w:rFonts w:hint="eastAsia" w:ascii="Times New Roman" w:hAnsi="Times New Roman" w:eastAsia="宋体"/>
                <w:b/>
                <w:bCs/>
                <w:sz w:val="21"/>
                <w:szCs w:val="21"/>
              </w:rPr>
              <w:t>的工作人员</w:t>
            </w:r>
            <w:r>
              <w:rPr>
                <w:rFonts w:hint="eastAsia" w:ascii="Times New Roman" w:hAnsi="Times New Roman" w:eastAsia="宋体"/>
                <w:b/>
                <w:bCs/>
                <w:sz w:val="21"/>
                <w:szCs w:val="21"/>
                <w:highlight w:val="none"/>
              </w:rPr>
              <w:t>），或根据指挥在相关文件上签字认可者</w:t>
            </w:r>
          </w:p>
        </w:tc>
        <w:tc>
          <w:tcPr>
            <w:tcW w:w="1103" w:type="dxa"/>
            <w:noWrap w:val="0"/>
            <w:vAlign w:val="center"/>
          </w:tcPr>
          <w:p w14:paraId="03B10770">
            <w:pPr>
              <w:spacing w:before="20" w:after="20" w:line="300" w:lineRule="auto"/>
              <w:jc w:val="center"/>
              <w:rPr>
                <w:rFonts w:ascii="Times New Roman" w:hAnsi="Times New Roman" w:eastAsia="宋体"/>
                <w:b/>
                <w:bCs/>
                <w:sz w:val="21"/>
                <w:szCs w:val="21"/>
                <w:highlight w:val="none"/>
              </w:rPr>
            </w:pPr>
            <w:r>
              <w:rPr>
                <w:rFonts w:hint="eastAsia" w:ascii="Times New Roman" w:hAnsi="Times New Roman" w:eastAsia="宋体"/>
                <w:b/>
                <w:bCs/>
                <w:sz w:val="21"/>
                <w:szCs w:val="21"/>
                <w:highlight w:val="none"/>
              </w:rPr>
              <w:t>1</w:t>
            </w:r>
          </w:p>
        </w:tc>
      </w:tr>
      <w:tr w14:paraId="79AD947F">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0" w:type="dxa"/>
            <w:vMerge w:val="continue"/>
            <w:noWrap w:val="0"/>
            <w:vAlign w:val="center"/>
          </w:tcPr>
          <w:p w14:paraId="75C0618F">
            <w:pPr>
              <w:spacing w:before="20" w:after="20" w:line="300" w:lineRule="auto"/>
              <w:rPr>
                <w:rFonts w:hint="eastAsia"/>
                <w:b/>
                <w:bCs/>
                <w:highlight w:val="none"/>
              </w:rPr>
            </w:pPr>
          </w:p>
        </w:tc>
        <w:tc>
          <w:tcPr>
            <w:tcW w:w="5953" w:type="dxa"/>
            <w:noWrap w:val="0"/>
            <w:vAlign w:val="center"/>
          </w:tcPr>
          <w:p w14:paraId="09CF9852">
            <w:pPr>
              <w:spacing w:before="20" w:after="20" w:line="300" w:lineRule="auto"/>
              <w:rPr>
                <w:rFonts w:ascii="Times New Roman" w:hAnsi="Times New Roman" w:eastAsia="宋体"/>
                <w:b/>
                <w:bCs/>
                <w:sz w:val="21"/>
                <w:szCs w:val="21"/>
                <w:highlight w:val="none"/>
              </w:rPr>
            </w:pPr>
            <w:r>
              <w:rPr>
                <w:rFonts w:hint="eastAsia" w:ascii="Times New Roman" w:hAnsi="Times New Roman" w:eastAsia="宋体"/>
                <w:b/>
                <w:bCs/>
                <w:sz w:val="21"/>
                <w:szCs w:val="21"/>
                <w:highlight w:val="none"/>
              </w:rPr>
              <w:t>根据上级决策指挥或组织实施违法行为者</w:t>
            </w:r>
          </w:p>
        </w:tc>
        <w:tc>
          <w:tcPr>
            <w:tcW w:w="1103" w:type="dxa"/>
            <w:noWrap w:val="0"/>
            <w:vAlign w:val="center"/>
          </w:tcPr>
          <w:p w14:paraId="718A5096">
            <w:pPr>
              <w:spacing w:before="20" w:after="20" w:line="300" w:lineRule="auto"/>
              <w:jc w:val="center"/>
              <w:rPr>
                <w:rFonts w:ascii="Times New Roman" w:hAnsi="Times New Roman" w:eastAsia="宋体"/>
                <w:b/>
                <w:bCs/>
                <w:sz w:val="21"/>
                <w:szCs w:val="21"/>
                <w:highlight w:val="none"/>
              </w:rPr>
            </w:pPr>
            <w:r>
              <w:rPr>
                <w:rFonts w:hint="eastAsia" w:ascii="Times New Roman" w:hAnsi="Times New Roman" w:eastAsia="宋体"/>
                <w:b/>
                <w:bCs/>
                <w:sz w:val="21"/>
                <w:szCs w:val="21"/>
                <w:highlight w:val="none"/>
              </w:rPr>
              <w:t>3</w:t>
            </w:r>
          </w:p>
        </w:tc>
      </w:tr>
      <w:tr w14:paraId="19C7E584">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0" w:type="dxa"/>
            <w:vMerge w:val="continue"/>
            <w:noWrap w:val="0"/>
            <w:vAlign w:val="center"/>
          </w:tcPr>
          <w:p w14:paraId="79D0A584">
            <w:pPr>
              <w:spacing w:before="20" w:after="20" w:line="300" w:lineRule="auto"/>
              <w:rPr>
                <w:rFonts w:hint="eastAsia"/>
                <w:b/>
                <w:bCs/>
                <w:highlight w:val="none"/>
              </w:rPr>
            </w:pPr>
          </w:p>
        </w:tc>
        <w:tc>
          <w:tcPr>
            <w:tcW w:w="5953" w:type="dxa"/>
            <w:noWrap w:val="0"/>
            <w:vAlign w:val="center"/>
          </w:tcPr>
          <w:p w14:paraId="06B8E1F1">
            <w:pPr>
              <w:spacing w:before="20" w:after="20" w:line="300" w:lineRule="auto"/>
              <w:rPr>
                <w:rFonts w:ascii="Times New Roman" w:hAnsi="Times New Roman" w:eastAsia="宋体"/>
                <w:b/>
                <w:bCs/>
                <w:sz w:val="21"/>
                <w:szCs w:val="21"/>
                <w:highlight w:val="none"/>
              </w:rPr>
            </w:pPr>
            <w:r>
              <w:rPr>
                <w:rFonts w:ascii="Times New Roman" w:hAnsi="Times New Roman" w:eastAsia="宋体"/>
                <w:b/>
                <w:bCs/>
                <w:sz w:val="21"/>
                <w:szCs w:val="21"/>
              </w:rPr>
              <w:t>违法行为</w:t>
            </w:r>
            <w:r>
              <w:rPr>
                <w:rFonts w:hint="eastAsia" w:ascii="Times New Roman" w:hAnsi="Times New Roman" w:eastAsia="宋体"/>
                <w:b/>
                <w:bCs/>
                <w:sz w:val="21"/>
                <w:szCs w:val="21"/>
              </w:rPr>
              <w:t>的</w:t>
            </w:r>
            <w:r>
              <w:rPr>
                <w:rFonts w:ascii="Times New Roman" w:hAnsi="Times New Roman" w:eastAsia="宋体"/>
                <w:b/>
                <w:bCs/>
                <w:sz w:val="21"/>
                <w:szCs w:val="21"/>
              </w:rPr>
              <w:t>主要获利者</w:t>
            </w:r>
            <w:r>
              <w:rPr>
                <w:rFonts w:hint="eastAsia" w:ascii="Times New Roman" w:hAnsi="Times New Roman" w:eastAsia="宋体"/>
                <w:b/>
                <w:bCs/>
                <w:sz w:val="21"/>
                <w:szCs w:val="21"/>
              </w:rPr>
              <w:t>，在生产</w:t>
            </w:r>
            <w:r>
              <w:rPr>
                <w:rFonts w:ascii="Times New Roman" w:hAnsi="Times New Roman" w:eastAsia="宋体"/>
                <w:b/>
                <w:bCs/>
                <w:sz w:val="21"/>
                <w:szCs w:val="21"/>
              </w:rPr>
              <w:t>生产、经营中有决定权的管理</w:t>
            </w:r>
            <w:r>
              <w:rPr>
                <w:rFonts w:hint="eastAsia" w:ascii="Times New Roman" w:hAnsi="Times New Roman" w:eastAsia="宋体"/>
                <w:b/>
                <w:bCs/>
                <w:sz w:val="21"/>
                <w:szCs w:val="21"/>
              </w:rPr>
              <w:t>者</w:t>
            </w:r>
          </w:p>
        </w:tc>
        <w:tc>
          <w:tcPr>
            <w:tcW w:w="1103" w:type="dxa"/>
            <w:noWrap w:val="0"/>
            <w:vAlign w:val="center"/>
          </w:tcPr>
          <w:p w14:paraId="10BB0402">
            <w:pPr>
              <w:spacing w:before="20" w:after="20" w:line="300" w:lineRule="auto"/>
              <w:jc w:val="center"/>
              <w:rPr>
                <w:rFonts w:ascii="Times New Roman" w:hAnsi="Times New Roman" w:eastAsia="宋体"/>
                <w:b/>
                <w:bCs/>
                <w:sz w:val="21"/>
                <w:szCs w:val="21"/>
                <w:highlight w:val="none"/>
              </w:rPr>
            </w:pPr>
            <w:r>
              <w:rPr>
                <w:rFonts w:hint="eastAsia" w:ascii="Times New Roman" w:hAnsi="Times New Roman" w:eastAsia="宋体"/>
                <w:b/>
                <w:bCs/>
                <w:sz w:val="21"/>
                <w:szCs w:val="21"/>
                <w:highlight w:val="none"/>
              </w:rPr>
              <w:t>5</w:t>
            </w:r>
          </w:p>
        </w:tc>
      </w:tr>
      <w:tr w14:paraId="55856431">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0" w:type="dxa"/>
            <w:vMerge w:val="restart"/>
            <w:noWrap w:val="0"/>
            <w:vAlign w:val="center"/>
          </w:tcPr>
          <w:p w14:paraId="29A29AD7">
            <w:pPr>
              <w:spacing w:before="20" w:after="20" w:line="300" w:lineRule="auto"/>
              <w:jc w:val="center"/>
              <w:rPr>
                <w:rFonts w:hint="eastAsia"/>
                <w:b/>
                <w:bCs/>
                <w:highlight w:val="none"/>
              </w:rPr>
            </w:pPr>
            <w:r>
              <w:rPr>
                <w:rFonts w:ascii="Times New Roman" w:hAnsi="Times New Roman" w:eastAsia="宋体"/>
                <w:b/>
                <w:bCs/>
                <w:sz w:val="21"/>
                <w:szCs w:val="21"/>
                <w:highlight w:val="none"/>
              </w:rPr>
              <w:t>主观过错程度</w:t>
            </w:r>
          </w:p>
        </w:tc>
        <w:tc>
          <w:tcPr>
            <w:tcW w:w="5953" w:type="dxa"/>
            <w:noWrap w:val="0"/>
            <w:vAlign w:val="center"/>
          </w:tcPr>
          <w:p w14:paraId="0562F70C">
            <w:pPr>
              <w:spacing w:before="20" w:after="20" w:line="300" w:lineRule="auto"/>
              <w:rPr>
                <w:rFonts w:ascii="Times New Roman" w:hAnsi="Times New Roman" w:eastAsia="宋体"/>
                <w:b/>
                <w:bCs/>
                <w:sz w:val="21"/>
                <w:szCs w:val="21"/>
                <w:highlight w:val="none"/>
              </w:rPr>
            </w:pPr>
            <w:r>
              <w:rPr>
                <w:rFonts w:hint="eastAsia" w:ascii="Times New Roman" w:hAnsi="Times New Roman" w:eastAsia="宋体"/>
                <w:b/>
                <w:bCs/>
                <w:sz w:val="21"/>
                <w:szCs w:val="21"/>
                <w:highlight w:val="none"/>
              </w:rPr>
              <w:t>一般过失：知道或应当知道该行为属于环境违法行为</w:t>
            </w:r>
            <w:r>
              <w:rPr>
                <w:rFonts w:ascii="Times New Roman" w:hAnsi="Times New Roman" w:eastAsia="宋体"/>
                <w:b/>
                <w:bCs/>
                <w:sz w:val="21"/>
                <w:szCs w:val="21"/>
                <w:highlight w:val="none"/>
              </w:rPr>
              <w:t>，</w:t>
            </w:r>
            <w:r>
              <w:rPr>
                <w:rFonts w:hint="eastAsia" w:ascii="Times New Roman" w:hAnsi="Times New Roman" w:eastAsia="宋体"/>
                <w:b/>
                <w:bCs/>
                <w:sz w:val="21"/>
                <w:szCs w:val="21"/>
                <w:highlight w:val="none"/>
              </w:rPr>
              <w:t>虽然没有尽到应有的注意义务，但程度相对较强，导致未能发现并及时阻止环境违法行为</w:t>
            </w:r>
          </w:p>
        </w:tc>
        <w:tc>
          <w:tcPr>
            <w:tcW w:w="1103" w:type="dxa"/>
            <w:noWrap w:val="0"/>
            <w:vAlign w:val="center"/>
          </w:tcPr>
          <w:p w14:paraId="7C8B0048">
            <w:pPr>
              <w:spacing w:before="20" w:after="20" w:line="300" w:lineRule="auto"/>
              <w:jc w:val="center"/>
              <w:rPr>
                <w:rFonts w:ascii="Times New Roman" w:hAnsi="Times New Roman" w:eastAsia="宋体"/>
                <w:b/>
                <w:bCs/>
                <w:sz w:val="21"/>
                <w:szCs w:val="21"/>
                <w:highlight w:val="none"/>
              </w:rPr>
            </w:pPr>
            <w:r>
              <w:rPr>
                <w:rFonts w:hint="eastAsia" w:ascii="Times New Roman" w:hAnsi="Times New Roman" w:eastAsia="宋体"/>
                <w:b/>
                <w:bCs/>
                <w:sz w:val="21"/>
                <w:szCs w:val="21"/>
                <w:highlight w:val="none"/>
              </w:rPr>
              <w:t>1</w:t>
            </w:r>
          </w:p>
        </w:tc>
      </w:tr>
      <w:tr w14:paraId="3E5771BB">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0" w:type="dxa"/>
            <w:vMerge w:val="continue"/>
            <w:noWrap w:val="0"/>
            <w:vAlign w:val="center"/>
          </w:tcPr>
          <w:p w14:paraId="48F4C73F">
            <w:pPr>
              <w:spacing w:before="20" w:after="20" w:line="300" w:lineRule="auto"/>
              <w:rPr>
                <w:rFonts w:hint="eastAsia"/>
                <w:b/>
                <w:bCs/>
                <w:highlight w:val="none"/>
              </w:rPr>
            </w:pPr>
          </w:p>
        </w:tc>
        <w:tc>
          <w:tcPr>
            <w:tcW w:w="5953" w:type="dxa"/>
            <w:noWrap w:val="0"/>
            <w:vAlign w:val="center"/>
          </w:tcPr>
          <w:p w14:paraId="4A6022E3">
            <w:pPr>
              <w:spacing w:before="20" w:after="20" w:line="300" w:lineRule="auto"/>
              <w:rPr>
                <w:rFonts w:ascii="Times New Roman" w:hAnsi="Times New Roman" w:eastAsia="宋体"/>
                <w:b/>
                <w:bCs/>
                <w:sz w:val="21"/>
                <w:szCs w:val="21"/>
                <w:highlight w:val="none"/>
              </w:rPr>
            </w:pPr>
            <w:r>
              <w:rPr>
                <w:rFonts w:hint="eastAsia" w:ascii="Times New Roman" w:hAnsi="Times New Roman" w:eastAsia="宋体"/>
                <w:b/>
                <w:bCs/>
                <w:sz w:val="21"/>
                <w:szCs w:val="21"/>
                <w:highlight w:val="none"/>
              </w:rPr>
              <w:t>重大过失：知道或应当知道该行为属于环境违法行为</w:t>
            </w:r>
            <w:r>
              <w:rPr>
                <w:rFonts w:ascii="Times New Roman" w:hAnsi="Times New Roman" w:eastAsia="宋体"/>
                <w:b/>
                <w:bCs/>
                <w:sz w:val="21"/>
                <w:szCs w:val="21"/>
                <w:highlight w:val="none"/>
              </w:rPr>
              <w:t>，</w:t>
            </w:r>
            <w:r>
              <w:rPr>
                <w:rFonts w:hint="eastAsia" w:ascii="Times New Roman" w:hAnsi="Times New Roman" w:eastAsia="宋体"/>
                <w:b/>
                <w:bCs/>
                <w:sz w:val="21"/>
                <w:szCs w:val="21"/>
                <w:highlight w:val="none"/>
              </w:rPr>
              <w:t>因为疏忽或过于自信，</w:t>
            </w:r>
            <w:r>
              <w:rPr>
                <w:rFonts w:ascii="Times New Roman" w:hAnsi="Times New Roman" w:eastAsia="宋体"/>
                <w:b/>
                <w:bCs/>
                <w:sz w:val="21"/>
                <w:szCs w:val="21"/>
                <w:highlight w:val="none"/>
              </w:rPr>
              <w:t>未</w:t>
            </w:r>
            <w:r>
              <w:rPr>
                <w:rFonts w:hint="eastAsia" w:ascii="Times New Roman" w:hAnsi="Times New Roman" w:eastAsia="宋体"/>
                <w:b/>
                <w:bCs/>
                <w:sz w:val="21"/>
                <w:szCs w:val="21"/>
                <w:highlight w:val="none"/>
              </w:rPr>
              <w:t>全面积极地</w:t>
            </w:r>
            <w:r>
              <w:rPr>
                <w:rFonts w:ascii="Times New Roman" w:hAnsi="Times New Roman" w:eastAsia="宋体"/>
                <w:b/>
                <w:bCs/>
                <w:sz w:val="21"/>
                <w:szCs w:val="21"/>
                <w:highlight w:val="none"/>
              </w:rPr>
              <w:t>履行管理职责</w:t>
            </w:r>
            <w:r>
              <w:rPr>
                <w:rFonts w:hint="eastAsia" w:ascii="Times New Roman" w:hAnsi="Times New Roman" w:eastAsia="宋体"/>
                <w:b/>
                <w:bCs/>
                <w:sz w:val="21"/>
                <w:szCs w:val="21"/>
                <w:highlight w:val="none"/>
              </w:rPr>
              <w:t>，没有达到一般人在通常情况下所能达到的注意程度，导致环境违法行为发生</w:t>
            </w:r>
          </w:p>
        </w:tc>
        <w:tc>
          <w:tcPr>
            <w:tcW w:w="1103" w:type="dxa"/>
            <w:noWrap w:val="0"/>
            <w:vAlign w:val="center"/>
          </w:tcPr>
          <w:p w14:paraId="3B032AB0">
            <w:pPr>
              <w:spacing w:before="20" w:after="20" w:line="300" w:lineRule="auto"/>
              <w:jc w:val="center"/>
              <w:rPr>
                <w:rFonts w:ascii="Times New Roman" w:hAnsi="Times New Roman" w:eastAsia="宋体"/>
                <w:b/>
                <w:bCs/>
                <w:sz w:val="21"/>
                <w:szCs w:val="21"/>
                <w:highlight w:val="none"/>
              </w:rPr>
            </w:pPr>
            <w:r>
              <w:rPr>
                <w:rFonts w:hint="eastAsia" w:ascii="Times New Roman" w:hAnsi="Times New Roman" w:eastAsia="宋体"/>
                <w:b/>
                <w:bCs/>
                <w:sz w:val="21"/>
                <w:szCs w:val="21"/>
                <w:highlight w:val="none"/>
              </w:rPr>
              <w:t>3</w:t>
            </w:r>
          </w:p>
        </w:tc>
      </w:tr>
      <w:tr w14:paraId="13E09E39">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0" w:type="dxa"/>
            <w:vMerge w:val="continue"/>
            <w:noWrap w:val="0"/>
            <w:vAlign w:val="center"/>
          </w:tcPr>
          <w:p w14:paraId="106ADA36">
            <w:pPr>
              <w:spacing w:before="20" w:after="20" w:line="300" w:lineRule="auto"/>
              <w:rPr>
                <w:rFonts w:hint="eastAsia"/>
                <w:b/>
                <w:bCs/>
                <w:highlight w:val="none"/>
              </w:rPr>
            </w:pPr>
          </w:p>
        </w:tc>
        <w:tc>
          <w:tcPr>
            <w:tcW w:w="5953" w:type="dxa"/>
            <w:noWrap w:val="0"/>
            <w:vAlign w:val="center"/>
          </w:tcPr>
          <w:p w14:paraId="6E2551AD">
            <w:pPr>
              <w:spacing w:before="20" w:after="20" w:line="300" w:lineRule="auto"/>
              <w:rPr>
                <w:rFonts w:ascii="Times New Roman" w:hAnsi="Times New Roman" w:eastAsia="宋体"/>
                <w:b/>
                <w:bCs/>
                <w:sz w:val="21"/>
                <w:szCs w:val="21"/>
                <w:highlight w:val="none"/>
              </w:rPr>
            </w:pPr>
            <w:r>
              <w:rPr>
                <w:rFonts w:hint="eastAsia" w:ascii="Times New Roman" w:hAnsi="Times New Roman" w:eastAsia="宋体"/>
                <w:b/>
                <w:bCs/>
                <w:sz w:val="21"/>
                <w:szCs w:val="21"/>
                <w:highlight w:val="none"/>
              </w:rPr>
              <w:t>故意：知道或应当知道该行为属于环境违法行为</w:t>
            </w:r>
            <w:r>
              <w:rPr>
                <w:rFonts w:ascii="Times New Roman" w:hAnsi="Times New Roman" w:eastAsia="宋体"/>
                <w:b/>
                <w:bCs/>
                <w:sz w:val="21"/>
                <w:szCs w:val="21"/>
                <w:highlight w:val="none"/>
              </w:rPr>
              <w:t>，希望或者放任</w:t>
            </w:r>
            <w:r>
              <w:rPr>
                <w:rFonts w:hint="eastAsia" w:ascii="Times New Roman" w:hAnsi="Times New Roman" w:eastAsia="宋体"/>
                <w:b/>
                <w:bCs/>
                <w:sz w:val="21"/>
                <w:szCs w:val="21"/>
                <w:highlight w:val="none"/>
              </w:rPr>
              <w:t>环境危害后果</w:t>
            </w:r>
            <w:r>
              <w:rPr>
                <w:rFonts w:ascii="Times New Roman" w:hAnsi="Times New Roman" w:eastAsia="宋体"/>
                <w:b/>
                <w:bCs/>
                <w:sz w:val="21"/>
                <w:szCs w:val="21"/>
                <w:highlight w:val="none"/>
              </w:rPr>
              <w:t>发生</w:t>
            </w:r>
            <w:r>
              <w:rPr>
                <w:rFonts w:hint="eastAsia" w:ascii="Times New Roman" w:hAnsi="Times New Roman" w:eastAsia="宋体"/>
                <w:b/>
                <w:bCs/>
                <w:sz w:val="21"/>
                <w:szCs w:val="21"/>
                <w:highlight w:val="none"/>
              </w:rPr>
              <w:t>，包括</w:t>
            </w:r>
            <w:r>
              <w:rPr>
                <w:rFonts w:ascii="Times New Roman" w:hAnsi="Times New Roman" w:eastAsia="宋体"/>
                <w:b/>
                <w:bCs/>
                <w:sz w:val="21"/>
                <w:szCs w:val="21"/>
                <w:highlight w:val="none"/>
              </w:rPr>
              <w:t>直接故意（积极追求）和间接故意（放任不管）。</w:t>
            </w:r>
          </w:p>
        </w:tc>
        <w:tc>
          <w:tcPr>
            <w:tcW w:w="1103" w:type="dxa"/>
            <w:noWrap w:val="0"/>
            <w:vAlign w:val="center"/>
          </w:tcPr>
          <w:p w14:paraId="54D4719D">
            <w:pPr>
              <w:spacing w:before="20" w:after="20" w:line="300" w:lineRule="auto"/>
              <w:jc w:val="center"/>
              <w:rPr>
                <w:rFonts w:ascii="Times New Roman" w:hAnsi="Times New Roman" w:eastAsia="宋体"/>
                <w:b/>
                <w:bCs/>
                <w:sz w:val="21"/>
                <w:szCs w:val="21"/>
                <w:highlight w:val="none"/>
              </w:rPr>
            </w:pPr>
            <w:r>
              <w:rPr>
                <w:rFonts w:hint="eastAsia" w:ascii="Times New Roman" w:hAnsi="Times New Roman" w:eastAsia="宋体"/>
                <w:b/>
                <w:bCs/>
                <w:sz w:val="21"/>
                <w:szCs w:val="21"/>
                <w:highlight w:val="none"/>
              </w:rPr>
              <w:t>5</w:t>
            </w:r>
          </w:p>
        </w:tc>
      </w:tr>
      <w:tr w14:paraId="2E1E5EC2">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0" w:type="dxa"/>
            <w:noWrap w:val="0"/>
            <w:vAlign w:val="center"/>
          </w:tcPr>
          <w:p w14:paraId="344B1BE8">
            <w:pPr>
              <w:spacing w:before="20" w:after="20" w:line="300" w:lineRule="auto"/>
              <w:jc w:val="center"/>
              <w:rPr>
                <w:rFonts w:hint="eastAsia"/>
                <w:b/>
                <w:bCs/>
                <w:highlight w:val="none"/>
              </w:rPr>
            </w:pPr>
            <w:r>
              <w:rPr>
                <w:rFonts w:hint="eastAsia" w:ascii="Times New Roman" w:hAnsi="Times New Roman" w:eastAsia="宋体"/>
                <w:b/>
                <w:bCs/>
                <w:sz w:val="21"/>
                <w:szCs w:val="21"/>
                <w:highlight w:val="none"/>
              </w:rPr>
              <w:t>备注</w:t>
            </w:r>
          </w:p>
        </w:tc>
        <w:tc>
          <w:tcPr>
            <w:tcW w:w="7056" w:type="dxa"/>
            <w:gridSpan w:val="2"/>
            <w:noWrap w:val="0"/>
            <w:vAlign w:val="center"/>
          </w:tcPr>
          <w:p w14:paraId="174861DF">
            <w:pPr>
              <w:spacing w:before="20" w:after="20" w:line="300" w:lineRule="auto"/>
              <w:rPr>
                <w:rFonts w:ascii="Times New Roman" w:hAnsi="Times New Roman" w:eastAsia="宋体"/>
                <w:b/>
                <w:bCs/>
                <w:sz w:val="21"/>
                <w:szCs w:val="21"/>
                <w:highlight w:val="none"/>
              </w:rPr>
            </w:pPr>
            <w:r>
              <w:rPr>
                <w:rFonts w:hint="eastAsia" w:ascii="Times New Roman" w:hAnsi="Times New Roman" w:eastAsia="宋体"/>
                <w:b/>
                <w:bCs/>
                <w:sz w:val="21"/>
                <w:szCs w:val="21"/>
                <w:highlight w:val="none"/>
              </w:rPr>
              <w:t>对</w:t>
            </w:r>
            <w:r>
              <w:rPr>
                <w:rFonts w:ascii="Times New Roman" w:hAnsi="Times New Roman" w:eastAsia="宋体"/>
                <w:b/>
                <w:bCs/>
                <w:sz w:val="21"/>
                <w:szCs w:val="21"/>
                <w:highlight w:val="none"/>
              </w:rPr>
              <w:t>法定代表人、主要负责人、直接负责的主管人员和其他直接责任人员</w:t>
            </w:r>
            <w:r>
              <w:rPr>
                <w:rFonts w:hint="eastAsia" w:ascii="Times New Roman" w:hAnsi="Times New Roman" w:eastAsia="宋体"/>
                <w:b/>
                <w:bCs/>
                <w:sz w:val="21"/>
                <w:szCs w:val="21"/>
                <w:highlight w:val="none"/>
              </w:rPr>
              <w:t>的处罚，《</w:t>
            </w:r>
            <w:r>
              <w:rPr>
                <w:rFonts w:ascii="Times New Roman" w:hAnsi="Times New Roman" w:eastAsia="宋体"/>
                <w:b/>
                <w:bCs/>
                <w:sz w:val="21"/>
                <w:szCs w:val="21"/>
                <w:highlight w:val="none"/>
              </w:rPr>
              <w:t>云南省生态环境行政处罚裁量权基准表</w:t>
            </w:r>
            <w:r>
              <w:rPr>
                <w:rFonts w:hint="eastAsia" w:ascii="Times New Roman" w:hAnsi="Times New Roman" w:eastAsia="宋体"/>
                <w:b/>
                <w:bCs/>
                <w:sz w:val="21"/>
                <w:szCs w:val="21"/>
                <w:highlight w:val="none"/>
              </w:rPr>
              <w:t>》</w:t>
            </w:r>
            <w:r>
              <w:rPr>
                <w:rFonts w:ascii="Times New Roman" w:hAnsi="Times New Roman" w:eastAsia="宋体"/>
                <w:b/>
                <w:bCs/>
                <w:sz w:val="21"/>
                <w:szCs w:val="21"/>
              </w:rPr>
              <w:t>（2026年版）</w:t>
            </w:r>
            <w:r>
              <w:rPr>
                <w:rFonts w:hint="eastAsia" w:ascii="Times New Roman" w:hAnsi="Times New Roman" w:eastAsia="宋体"/>
                <w:b/>
                <w:bCs/>
                <w:sz w:val="21"/>
                <w:szCs w:val="21"/>
                <w:highlight w:val="none"/>
              </w:rPr>
              <w:t>中“</w:t>
            </w:r>
            <w:r>
              <w:rPr>
                <w:rFonts w:ascii="Times New Roman" w:hAnsi="Times New Roman" w:eastAsia="宋体"/>
                <w:b/>
                <w:bCs/>
                <w:sz w:val="21"/>
                <w:szCs w:val="21"/>
                <w:highlight w:val="none"/>
              </w:rPr>
              <w:t>一、违法行为个性裁量基准</w:t>
            </w:r>
            <w:r>
              <w:rPr>
                <w:rFonts w:hint="eastAsia" w:ascii="Times New Roman" w:hAnsi="Times New Roman" w:eastAsia="宋体"/>
                <w:b/>
                <w:bCs/>
                <w:sz w:val="21"/>
                <w:szCs w:val="21"/>
                <w:highlight w:val="none"/>
              </w:rPr>
              <w:t>”有相应适宜裁量因子规定的，继续参照适用；若《</w:t>
            </w:r>
            <w:r>
              <w:rPr>
                <w:rFonts w:ascii="Times New Roman" w:hAnsi="Times New Roman" w:eastAsia="宋体"/>
                <w:b/>
                <w:bCs/>
                <w:sz w:val="21"/>
                <w:szCs w:val="21"/>
                <w:highlight w:val="none"/>
              </w:rPr>
              <w:t>云南省生态环境行政处罚裁量权基准表</w:t>
            </w:r>
            <w:r>
              <w:rPr>
                <w:rFonts w:hint="eastAsia" w:ascii="Times New Roman" w:hAnsi="Times New Roman" w:eastAsia="宋体"/>
                <w:b/>
                <w:bCs/>
                <w:sz w:val="21"/>
                <w:szCs w:val="21"/>
                <w:highlight w:val="none"/>
              </w:rPr>
              <w:t>》</w:t>
            </w:r>
            <w:r>
              <w:rPr>
                <w:rFonts w:ascii="Times New Roman" w:hAnsi="Times New Roman" w:eastAsia="宋体"/>
                <w:b/>
                <w:bCs/>
                <w:sz w:val="21"/>
                <w:szCs w:val="21"/>
              </w:rPr>
              <w:t>（2026年版）</w:t>
            </w:r>
            <w:r>
              <w:rPr>
                <w:rFonts w:hint="eastAsia" w:ascii="Times New Roman" w:hAnsi="Times New Roman" w:eastAsia="宋体"/>
                <w:b/>
                <w:bCs/>
                <w:sz w:val="21"/>
                <w:szCs w:val="21"/>
                <w:highlight w:val="none"/>
              </w:rPr>
              <w:t>中所列针对单位的</w:t>
            </w:r>
            <w:r>
              <w:rPr>
                <w:rFonts w:ascii="Times New Roman" w:hAnsi="Times New Roman" w:eastAsia="宋体"/>
                <w:b/>
                <w:bCs/>
                <w:sz w:val="21"/>
                <w:szCs w:val="21"/>
                <w:highlight w:val="none"/>
              </w:rPr>
              <w:t>裁量因子</w:t>
            </w:r>
            <w:r>
              <w:rPr>
                <w:rFonts w:hint="eastAsia" w:ascii="Times New Roman" w:hAnsi="Times New Roman" w:eastAsia="宋体"/>
                <w:b/>
                <w:bCs/>
                <w:sz w:val="21"/>
                <w:szCs w:val="21"/>
                <w:highlight w:val="none"/>
              </w:rPr>
              <w:t>，不宜直接适用于对个人的处罚</w:t>
            </w:r>
            <w:r>
              <w:rPr>
                <w:rFonts w:ascii="Times New Roman" w:hAnsi="Times New Roman" w:eastAsia="宋体"/>
                <w:b/>
                <w:bCs/>
                <w:sz w:val="21"/>
                <w:szCs w:val="21"/>
                <w:highlight w:val="none"/>
              </w:rPr>
              <w:t>（如环评文件类别、污染物种类等）</w:t>
            </w:r>
            <w:r>
              <w:rPr>
                <w:rFonts w:hint="eastAsia" w:ascii="Times New Roman" w:hAnsi="Times New Roman" w:eastAsia="宋体"/>
                <w:b/>
                <w:bCs/>
                <w:sz w:val="21"/>
                <w:szCs w:val="21"/>
                <w:highlight w:val="none"/>
              </w:rPr>
              <w:t>时，或所列裁量因子虽适用但对案件定罚的裁量维度并不完善的，则以本表所列作为裁量补充因子，根据本细则所列裁量总公式及取值规则等综合计算处罚金额。</w:t>
            </w:r>
          </w:p>
        </w:tc>
      </w:tr>
    </w:tbl>
    <w:p w14:paraId="3424C2BA">
      <w:pPr>
        <w:spacing w:before="40" w:after="40" w:line="400" w:lineRule="auto"/>
        <w:jc w:val="both"/>
        <w:rPr>
          <w:rFonts w:ascii="Times New Roman" w:hAnsi="Times New Roman" w:eastAsia="黑体"/>
          <w:b/>
          <w:sz w:val="24"/>
        </w:rPr>
      </w:pPr>
    </w:p>
    <w:p w14:paraId="7B0737E0">
      <w:pPr>
        <w:spacing w:after="120" w:afterLines="50" w:line="480" w:lineRule="exact"/>
        <w:rPr>
          <w:rFonts w:ascii="Times New Roman" w:hAnsi="Times New Roman" w:eastAsia="黑体"/>
          <w:sz w:val="28"/>
          <w:szCs w:val="28"/>
        </w:rPr>
      </w:pPr>
      <w:r>
        <w:rPr>
          <w:rFonts w:ascii="Times New Roman" w:hAnsi="Times New Roman" w:eastAsia="黑体"/>
          <w:sz w:val="28"/>
          <w:szCs w:val="28"/>
        </w:rPr>
        <w:t>三、违法行为修正裁量基准</w:t>
      </w:r>
    </w:p>
    <w:tbl>
      <w:tblPr>
        <w:tblStyle w:val="8"/>
        <w:tblW w:w="9026" w:type="dxa"/>
        <w:tblInd w:w="10" w:type="dxa"/>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3"/>
        <w:gridCol w:w="5670"/>
        <w:gridCol w:w="1103"/>
      </w:tblGrid>
      <w:tr w14:paraId="11AEF380">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3" w:type="dxa"/>
            <w:noWrap w:val="0"/>
            <w:vAlign w:val="center"/>
          </w:tcPr>
          <w:p w14:paraId="7B1C9D0D">
            <w:pPr>
              <w:spacing w:before="20" w:after="20" w:line="300" w:lineRule="auto"/>
              <w:jc w:val="center"/>
              <w:rPr>
                <w:rFonts w:hint="eastAsia"/>
              </w:rPr>
            </w:pPr>
            <w:r>
              <w:rPr>
                <w:rFonts w:ascii="Times New Roman" w:hAnsi="Times New Roman" w:eastAsia="宋体"/>
                <w:b/>
                <w:sz w:val="21"/>
                <w:szCs w:val="21"/>
              </w:rPr>
              <w:t>修正因素类别</w:t>
            </w:r>
          </w:p>
        </w:tc>
        <w:tc>
          <w:tcPr>
            <w:tcW w:w="5670" w:type="dxa"/>
            <w:noWrap w:val="0"/>
            <w:vAlign w:val="center"/>
          </w:tcPr>
          <w:p w14:paraId="58DDE384">
            <w:pPr>
              <w:spacing w:before="20" w:after="20" w:line="300" w:lineRule="auto"/>
              <w:jc w:val="center"/>
              <w:rPr>
                <w:rFonts w:hint="eastAsia"/>
              </w:rPr>
            </w:pPr>
            <w:r>
              <w:rPr>
                <w:rFonts w:ascii="Times New Roman" w:hAnsi="Times New Roman" w:eastAsia="宋体"/>
                <w:b/>
                <w:sz w:val="21"/>
                <w:szCs w:val="21"/>
              </w:rPr>
              <w:t>裁量因子</w:t>
            </w:r>
          </w:p>
        </w:tc>
        <w:tc>
          <w:tcPr>
            <w:tcW w:w="1103" w:type="dxa"/>
            <w:noWrap w:val="0"/>
            <w:vAlign w:val="center"/>
          </w:tcPr>
          <w:p w14:paraId="5CF92C23">
            <w:pPr>
              <w:spacing w:before="20" w:after="20" w:line="300" w:lineRule="auto"/>
              <w:jc w:val="center"/>
              <w:rPr>
                <w:rFonts w:hint="eastAsia"/>
              </w:rPr>
            </w:pPr>
            <w:r>
              <w:rPr>
                <w:rFonts w:ascii="Times New Roman" w:hAnsi="Times New Roman" w:eastAsia="宋体"/>
                <w:b/>
                <w:sz w:val="21"/>
                <w:szCs w:val="21"/>
              </w:rPr>
              <w:t>裁量等级</w:t>
            </w:r>
          </w:p>
        </w:tc>
      </w:tr>
      <w:tr w14:paraId="550F8083">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3" w:type="dxa"/>
            <w:vMerge w:val="restart"/>
            <w:noWrap w:val="0"/>
            <w:vAlign w:val="center"/>
          </w:tcPr>
          <w:p w14:paraId="0F769669">
            <w:pPr>
              <w:spacing w:before="20" w:after="20" w:line="300" w:lineRule="auto"/>
              <w:jc w:val="center"/>
              <w:rPr>
                <w:rFonts w:hint="eastAsia"/>
                <w:b/>
                <w:bCs/>
              </w:rPr>
            </w:pPr>
            <w:r>
              <w:rPr>
                <w:rFonts w:ascii="Times New Roman" w:hAnsi="Times New Roman" w:eastAsia="宋体"/>
                <w:b/>
                <w:bCs/>
                <w:sz w:val="21"/>
                <w:szCs w:val="21"/>
              </w:rPr>
              <w:t>改正态度</w:t>
            </w:r>
          </w:p>
        </w:tc>
        <w:tc>
          <w:tcPr>
            <w:tcW w:w="5670" w:type="dxa"/>
            <w:noWrap w:val="0"/>
            <w:vAlign w:val="center"/>
          </w:tcPr>
          <w:p w14:paraId="73238DE9">
            <w:pPr>
              <w:spacing w:before="20" w:after="20" w:line="300" w:lineRule="auto"/>
              <w:rPr>
                <w:rFonts w:hint="eastAsia"/>
              </w:rPr>
            </w:pPr>
            <w:r>
              <w:rPr>
                <w:rFonts w:ascii="Times New Roman" w:hAnsi="Times New Roman" w:eastAsia="宋体"/>
                <w:sz w:val="21"/>
                <w:szCs w:val="21"/>
              </w:rPr>
              <w:t>立即改正</w:t>
            </w:r>
          </w:p>
        </w:tc>
        <w:tc>
          <w:tcPr>
            <w:tcW w:w="1103" w:type="dxa"/>
            <w:noWrap w:val="0"/>
            <w:vAlign w:val="center"/>
          </w:tcPr>
          <w:p w14:paraId="7BC04BE7">
            <w:pPr>
              <w:spacing w:before="20" w:after="20" w:line="300" w:lineRule="auto"/>
              <w:jc w:val="center"/>
              <w:rPr>
                <w:rFonts w:hint="eastAsia"/>
              </w:rPr>
            </w:pPr>
            <w:r>
              <w:rPr>
                <w:rFonts w:ascii="Times New Roman" w:hAnsi="Times New Roman" w:eastAsia="宋体"/>
                <w:sz w:val="21"/>
                <w:szCs w:val="21"/>
              </w:rPr>
              <w:t>-2</w:t>
            </w:r>
          </w:p>
        </w:tc>
      </w:tr>
      <w:tr w14:paraId="263E03CA">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3" w:type="dxa"/>
            <w:vMerge w:val="continue"/>
            <w:noWrap w:val="0"/>
            <w:vAlign w:val="center"/>
          </w:tcPr>
          <w:p w14:paraId="75EAEE87">
            <w:pPr>
              <w:spacing w:before="20" w:after="20" w:line="300" w:lineRule="auto"/>
              <w:jc w:val="center"/>
              <w:rPr>
                <w:rFonts w:hint="eastAsia"/>
                <w:b/>
                <w:bCs/>
              </w:rPr>
            </w:pPr>
          </w:p>
        </w:tc>
        <w:tc>
          <w:tcPr>
            <w:tcW w:w="5670" w:type="dxa"/>
            <w:noWrap w:val="0"/>
            <w:vAlign w:val="center"/>
          </w:tcPr>
          <w:p w14:paraId="3837EFA9">
            <w:pPr>
              <w:spacing w:before="20" w:after="20" w:line="300" w:lineRule="auto"/>
              <w:rPr>
                <w:rFonts w:hint="eastAsia"/>
              </w:rPr>
            </w:pPr>
            <w:r>
              <w:rPr>
                <w:rFonts w:ascii="Times New Roman" w:hAnsi="Times New Roman" w:eastAsia="宋体"/>
                <w:sz w:val="21"/>
                <w:szCs w:val="21"/>
              </w:rPr>
              <w:t>在规定期限内改正</w:t>
            </w:r>
          </w:p>
        </w:tc>
        <w:tc>
          <w:tcPr>
            <w:tcW w:w="1103" w:type="dxa"/>
            <w:noWrap w:val="0"/>
            <w:vAlign w:val="center"/>
          </w:tcPr>
          <w:p w14:paraId="04411E44">
            <w:pPr>
              <w:spacing w:before="20" w:after="20" w:line="300" w:lineRule="auto"/>
              <w:jc w:val="center"/>
              <w:rPr>
                <w:rFonts w:hint="eastAsia"/>
              </w:rPr>
            </w:pPr>
            <w:r>
              <w:rPr>
                <w:rFonts w:ascii="Times New Roman" w:hAnsi="Times New Roman" w:eastAsia="宋体"/>
                <w:sz w:val="21"/>
                <w:szCs w:val="21"/>
              </w:rPr>
              <w:t>0</w:t>
            </w:r>
          </w:p>
        </w:tc>
      </w:tr>
      <w:tr w14:paraId="7D588F43">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3" w:type="dxa"/>
            <w:vMerge w:val="continue"/>
            <w:noWrap w:val="0"/>
            <w:vAlign w:val="center"/>
          </w:tcPr>
          <w:p w14:paraId="7C0EE50C">
            <w:pPr>
              <w:spacing w:before="20" w:after="20" w:line="300" w:lineRule="auto"/>
              <w:jc w:val="center"/>
              <w:rPr>
                <w:rFonts w:hint="eastAsia"/>
                <w:b/>
                <w:bCs/>
              </w:rPr>
            </w:pPr>
          </w:p>
        </w:tc>
        <w:tc>
          <w:tcPr>
            <w:tcW w:w="5670" w:type="dxa"/>
            <w:noWrap w:val="0"/>
            <w:vAlign w:val="center"/>
          </w:tcPr>
          <w:p w14:paraId="4FE605ED">
            <w:pPr>
              <w:spacing w:before="20" w:after="20" w:line="300" w:lineRule="auto"/>
              <w:rPr>
                <w:rFonts w:hint="eastAsia"/>
              </w:rPr>
            </w:pPr>
            <w:r>
              <w:rPr>
                <w:rFonts w:ascii="Times New Roman" w:hAnsi="Times New Roman" w:eastAsia="宋体"/>
                <w:sz w:val="21"/>
                <w:szCs w:val="21"/>
              </w:rPr>
              <w:t>故意拖延</w:t>
            </w:r>
          </w:p>
        </w:tc>
        <w:tc>
          <w:tcPr>
            <w:tcW w:w="1103" w:type="dxa"/>
            <w:noWrap w:val="0"/>
            <w:vAlign w:val="center"/>
          </w:tcPr>
          <w:p w14:paraId="05FD4E56">
            <w:pPr>
              <w:spacing w:before="20" w:after="20" w:line="300" w:lineRule="auto"/>
              <w:jc w:val="center"/>
              <w:rPr>
                <w:rFonts w:hint="eastAsia"/>
              </w:rPr>
            </w:pPr>
            <w:r>
              <w:rPr>
                <w:rFonts w:ascii="Times New Roman" w:hAnsi="Times New Roman" w:eastAsia="宋体"/>
                <w:sz w:val="21"/>
                <w:szCs w:val="21"/>
              </w:rPr>
              <w:t>1</w:t>
            </w:r>
          </w:p>
        </w:tc>
      </w:tr>
      <w:tr w14:paraId="0A58B3C5">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3" w:type="dxa"/>
            <w:vMerge w:val="continue"/>
            <w:noWrap w:val="0"/>
            <w:vAlign w:val="center"/>
          </w:tcPr>
          <w:p w14:paraId="751E595C">
            <w:pPr>
              <w:spacing w:before="20" w:after="20" w:line="300" w:lineRule="auto"/>
              <w:jc w:val="center"/>
              <w:rPr>
                <w:rFonts w:hint="eastAsia"/>
                <w:b/>
                <w:bCs/>
              </w:rPr>
            </w:pPr>
          </w:p>
        </w:tc>
        <w:tc>
          <w:tcPr>
            <w:tcW w:w="5670" w:type="dxa"/>
            <w:noWrap w:val="0"/>
            <w:vAlign w:val="center"/>
          </w:tcPr>
          <w:p w14:paraId="41BA4A1C">
            <w:pPr>
              <w:spacing w:before="20" w:after="20" w:line="300" w:lineRule="auto"/>
              <w:rPr>
                <w:rFonts w:hint="eastAsia"/>
              </w:rPr>
            </w:pPr>
            <w:r>
              <w:rPr>
                <w:rFonts w:ascii="Times New Roman" w:hAnsi="Times New Roman" w:eastAsia="宋体"/>
                <w:sz w:val="21"/>
                <w:szCs w:val="21"/>
              </w:rPr>
              <w:t>拒不改正</w:t>
            </w:r>
          </w:p>
        </w:tc>
        <w:tc>
          <w:tcPr>
            <w:tcW w:w="1103" w:type="dxa"/>
            <w:noWrap w:val="0"/>
            <w:vAlign w:val="center"/>
          </w:tcPr>
          <w:p w14:paraId="3027044E">
            <w:pPr>
              <w:spacing w:before="20" w:after="20" w:line="300" w:lineRule="auto"/>
              <w:jc w:val="center"/>
              <w:rPr>
                <w:rFonts w:hint="eastAsia"/>
              </w:rPr>
            </w:pPr>
            <w:r>
              <w:rPr>
                <w:rFonts w:ascii="Times New Roman" w:hAnsi="Times New Roman" w:eastAsia="宋体"/>
                <w:sz w:val="21"/>
                <w:szCs w:val="21"/>
              </w:rPr>
              <w:t>2</w:t>
            </w:r>
          </w:p>
        </w:tc>
      </w:tr>
      <w:tr w14:paraId="74D6E4D9">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3" w:type="dxa"/>
            <w:vMerge w:val="restart"/>
            <w:noWrap w:val="0"/>
            <w:vAlign w:val="center"/>
          </w:tcPr>
          <w:p w14:paraId="551407D8">
            <w:pPr>
              <w:spacing w:before="20" w:after="20" w:line="300" w:lineRule="auto"/>
              <w:jc w:val="center"/>
              <w:rPr>
                <w:rFonts w:hint="eastAsia"/>
                <w:b/>
                <w:bCs/>
              </w:rPr>
            </w:pPr>
            <w:r>
              <w:rPr>
                <w:rFonts w:ascii="Times New Roman" w:hAnsi="Times New Roman" w:eastAsia="宋体"/>
                <w:b/>
                <w:bCs/>
                <w:sz w:val="21"/>
                <w:szCs w:val="21"/>
              </w:rPr>
              <w:t>配合调查取证情况</w:t>
            </w:r>
          </w:p>
        </w:tc>
        <w:tc>
          <w:tcPr>
            <w:tcW w:w="5670" w:type="dxa"/>
            <w:noWrap w:val="0"/>
            <w:vAlign w:val="center"/>
          </w:tcPr>
          <w:p w14:paraId="45698450">
            <w:pPr>
              <w:spacing w:before="20" w:after="20" w:line="300" w:lineRule="auto"/>
              <w:rPr>
                <w:rFonts w:hint="eastAsia"/>
              </w:rPr>
            </w:pPr>
            <w:r>
              <w:rPr>
                <w:rFonts w:ascii="Times New Roman" w:hAnsi="Times New Roman" w:eastAsia="宋体"/>
                <w:sz w:val="21"/>
                <w:szCs w:val="21"/>
              </w:rPr>
              <w:t>积极配合</w:t>
            </w:r>
          </w:p>
        </w:tc>
        <w:tc>
          <w:tcPr>
            <w:tcW w:w="1103" w:type="dxa"/>
            <w:noWrap w:val="0"/>
            <w:vAlign w:val="center"/>
          </w:tcPr>
          <w:p w14:paraId="7AEDA2F9">
            <w:pPr>
              <w:spacing w:before="20" w:after="20" w:line="300" w:lineRule="auto"/>
              <w:jc w:val="center"/>
              <w:rPr>
                <w:rFonts w:hint="eastAsia"/>
              </w:rPr>
            </w:pPr>
            <w:r>
              <w:rPr>
                <w:rFonts w:ascii="Times New Roman" w:hAnsi="Times New Roman" w:eastAsia="宋体"/>
                <w:sz w:val="21"/>
                <w:szCs w:val="21"/>
              </w:rPr>
              <w:t>-2</w:t>
            </w:r>
          </w:p>
        </w:tc>
      </w:tr>
      <w:tr w14:paraId="67FD8D4D">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3" w:type="dxa"/>
            <w:vMerge w:val="continue"/>
            <w:noWrap w:val="0"/>
            <w:vAlign w:val="center"/>
          </w:tcPr>
          <w:p w14:paraId="24818F26">
            <w:pPr>
              <w:spacing w:before="20" w:after="20" w:line="300" w:lineRule="auto"/>
              <w:jc w:val="center"/>
              <w:rPr>
                <w:rFonts w:hint="eastAsia"/>
                <w:b/>
                <w:bCs/>
              </w:rPr>
            </w:pPr>
          </w:p>
        </w:tc>
        <w:tc>
          <w:tcPr>
            <w:tcW w:w="5670" w:type="dxa"/>
            <w:noWrap w:val="0"/>
            <w:vAlign w:val="center"/>
          </w:tcPr>
          <w:p w14:paraId="22E6DF7F">
            <w:pPr>
              <w:spacing w:before="20" w:after="20" w:line="300" w:lineRule="auto"/>
              <w:rPr>
                <w:rFonts w:hint="eastAsia"/>
              </w:rPr>
            </w:pPr>
            <w:r>
              <w:rPr>
                <w:rFonts w:ascii="Times New Roman" w:hAnsi="Times New Roman" w:eastAsia="宋体"/>
                <w:sz w:val="21"/>
                <w:szCs w:val="21"/>
              </w:rPr>
              <w:t>消极配合</w:t>
            </w:r>
          </w:p>
        </w:tc>
        <w:tc>
          <w:tcPr>
            <w:tcW w:w="1103" w:type="dxa"/>
            <w:noWrap w:val="0"/>
            <w:vAlign w:val="center"/>
          </w:tcPr>
          <w:p w14:paraId="669F66DB">
            <w:pPr>
              <w:spacing w:before="20" w:after="20" w:line="300" w:lineRule="auto"/>
              <w:jc w:val="center"/>
              <w:rPr>
                <w:rFonts w:hint="eastAsia"/>
              </w:rPr>
            </w:pPr>
            <w:r>
              <w:rPr>
                <w:rFonts w:ascii="Times New Roman" w:hAnsi="Times New Roman" w:eastAsia="宋体"/>
                <w:sz w:val="21"/>
                <w:szCs w:val="21"/>
              </w:rPr>
              <w:t>0</w:t>
            </w:r>
          </w:p>
        </w:tc>
      </w:tr>
      <w:tr w14:paraId="38D9F0C3">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3" w:type="dxa"/>
            <w:vMerge w:val="continue"/>
            <w:noWrap w:val="0"/>
            <w:vAlign w:val="center"/>
          </w:tcPr>
          <w:p w14:paraId="4F225401">
            <w:pPr>
              <w:spacing w:before="20" w:after="20" w:line="300" w:lineRule="auto"/>
              <w:jc w:val="center"/>
              <w:rPr>
                <w:rFonts w:hint="eastAsia"/>
                <w:b/>
                <w:bCs/>
              </w:rPr>
            </w:pPr>
          </w:p>
        </w:tc>
        <w:tc>
          <w:tcPr>
            <w:tcW w:w="5670" w:type="dxa"/>
            <w:noWrap w:val="0"/>
            <w:vAlign w:val="center"/>
          </w:tcPr>
          <w:p w14:paraId="2F3D3A83">
            <w:pPr>
              <w:spacing w:before="20" w:after="20" w:line="300" w:lineRule="auto"/>
              <w:rPr>
                <w:rFonts w:hint="eastAsia"/>
              </w:rPr>
            </w:pPr>
            <w:r>
              <w:rPr>
                <w:rFonts w:ascii="Times New Roman" w:hAnsi="Times New Roman" w:eastAsia="宋体"/>
                <w:sz w:val="21"/>
                <w:szCs w:val="21"/>
              </w:rPr>
              <w:t>拒不配合或弄虚作假</w:t>
            </w:r>
          </w:p>
        </w:tc>
        <w:tc>
          <w:tcPr>
            <w:tcW w:w="1103" w:type="dxa"/>
            <w:noWrap w:val="0"/>
            <w:vAlign w:val="center"/>
          </w:tcPr>
          <w:p w14:paraId="11445C63">
            <w:pPr>
              <w:spacing w:before="20" w:after="20" w:line="300" w:lineRule="auto"/>
              <w:jc w:val="center"/>
              <w:rPr>
                <w:rFonts w:hint="eastAsia"/>
              </w:rPr>
            </w:pPr>
            <w:r>
              <w:rPr>
                <w:rFonts w:ascii="Times New Roman" w:hAnsi="Times New Roman" w:eastAsia="宋体"/>
                <w:sz w:val="21"/>
                <w:szCs w:val="21"/>
              </w:rPr>
              <w:t>2</w:t>
            </w:r>
          </w:p>
        </w:tc>
      </w:tr>
      <w:tr w14:paraId="52F156D8">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3" w:type="dxa"/>
            <w:vMerge w:val="restart"/>
            <w:noWrap w:val="0"/>
            <w:vAlign w:val="center"/>
          </w:tcPr>
          <w:p w14:paraId="20976EA2">
            <w:pPr>
              <w:spacing w:before="20" w:after="20" w:line="300" w:lineRule="auto"/>
              <w:jc w:val="center"/>
              <w:rPr>
                <w:rFonts w:hint="eastAsia"/>
                <w:b/>
                <w:bCs/>
              </w:rPr>
            </w:pPr>
            <w:r>
              <w:rPr>
                <w:rFonts w:ascii="Times New Roman" w:hAnsi="Times New Roman" w:eastAsia="宋体"/>
                <w:b/>
                <w:bCs/>
                <w:sz w:val="21"/>
                <w:szCs w:val="21"/>
              </w:rPr>
              <w:t>补救措施</w:t>
            </w:r>
          </w:p>
        </w:tc>
        <w:tc>
          <w:tcPr>
            <w:tcW w:w="5670" w:type="dxa"/>
            <w:noWrap w:val="0"/>
            <w:vAlign w:val="center"/>
          </w:tcPr>
          <w:p w14:paraId="41B730CC">
            <w:pPr>
              <w:spacing w:before="20" w:after="20" w:line="300" w:lineRule="auto"/>
              <w:rPr>
                <w:rFonts w:hint="eastAsia"/>
              </w:rPr>
            </w:pPr>
            <w:r>
              <w:rPr>
                <w:rFonts w:ascii="Times New Roman" w:hAnsi="Times New Roman" w:eastAsia="宋体"/>
                <w:sz w:val="21"/>
                <w:szCs w:val="21"/>
              </w:rPr>
              <w:t>积极采取补救措施；恢复原状，消除环境影响</w:t>
            </w:r>
          </w:p>
        </w:tc>
        <w:tc>
          <w:tcPr>
            <w:tcW w:w="1103" w:type="dxa"/>
            <w:noWrap w:val="0"/>
            <w:vAlign w:val="center"/>
          </w:tcPr>
          <w:p w14:paraId="769FEF3A">
            <w:pPr>
              <w:spacing w:before="20" w:after="20" w:line="300" w:lineRule="auto"/>
              <w:jc w:val="center"/>
              <w:rPr>
                <w:rFonts w:hint="eastAsia"/>
              </w:rPr>
            </w:pPr>
            <w:r>
              <w:rPr>
                <w:rFonts w:ascii="Times New Roman" w:hAnsi="Times New Roman" w:eastAsia="宋体"/>
                <w:sz w:val="21"/>
                <w:szCs w:val="21"/>
              </w:rPr>
              <w:t>-2</w:t>
            </w:r>
          </w:p>
        </w:tc>
      </w:tr>
      <w:tr w14:paraId="78850BBE">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3" w:type="dxa"/>
            <w:vMerge w:val="continue"/>
            <w:noWrap w:val="0"/>
            <w:vAlign w:val="center"/>
          </w:tcPr>
          <w:p w14:paraId="6FECE997">
            <w:pPr>
              <w:spacing w:before="20" w:after="20" w:line="300" w:lineRule="auto"/>
              <w:jc w:val="center"/>
              <w:rPr>
                <w:rFonts w:hint="eastAsia"/>
                <w:b/>
                <w:bCs/>
              </w:rPr>
            </w:pPr>
          </w:p>
        </w:tc>
        <w:tc>
          <w:tcPr>
            <w:tcW w:w="5670" w:type="dxa"/>
            <w:noWrap w:val="0"/>
            <w:vAlign w:val="center"/>
          </w:tcPr>
          <w:p w14:paraId="30AA58A4">
            <w:pPr>
              <w:spacing w:before="20" w:after="20" w:line="300" w:lineRule="auto"/>
              <w:rPr>
                <w:rFonts w:hint="eastAsia"/>
              </w:rPr>
            </w:pPr>
            <w:r>
              <w:rPr>
                <w:rFonts w:ascii="Times New Roman" w:hAnsi="Times New Roman" w:eastAsia="宋体"/>
                <w:sz w:val="21"/>
                <w:szCs w:val="21"/>
              </w:rPr>
              <w:t>采取补救措施，环境影响无法完全消除</w:t>
            </w:r>
          </w:p>
        </w:tc>
        <w:tc>
          <w:tcPr>
            <w:tcW w:w="1103" w:type="dxa"/>
            <w:noWrap w:val="0"/>
            <w:vAlign w:val="center"/>
          </w:tcPr>
          <w:p w14:paraId="71C5665D">
            <w:pPr>
              <w:spacing w:before="20" w:after="20" w:line="300" w:lineRule="auto"/>
              <w:jc w:val="center"/>
              <w:rPr>
                <w:rFonts w:hint="eastAsia"/>
              </w:rPr>
            </w:pPr>
            <w:r>
              <w:rPr>
                <w:rFonts w:ascii="Times New Roman" w:hAnsi="Times New Roman" w:eastAsia="宋体"/>
                <w:sz w:val="21"/>
                <w:szCs w:val="21"/>
              </w:rPr>
              <w:t>-1</w:t>
            </w:r>
          </w:p>
        </w:tc>
      </w:tr>
      <w:tr w14:paraId="3A383298">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3" w:type="dxa"/>
            <w:vMerge w:val="continue"/>
            <w:noWrap w:val="0"/>
            <w:vAlign w:val="center"/>
          </w:tcPr>
          <w:p w14:paraId="4C2DB920">
            <w:pPr>
              <w:spacing w:before="20" w:after="20" w:line="300" w:lineRule="auto"/>
              <w:jc w:val="center"/>
              <w:rPr>
                <w:rFonts w:hint="eastAsia"/>
                <w:b/>
                <w:bCs/>
              </w:rPr>
            </w:pPr>
          </w:p>
        </w:tc>
        <w:tc>
          <w:tcPr>
            <w:tcW w:w="5670" w:type="dxa"/>
            <w:noWrap w:val="0"/>
            <w:vAlign w:val="center"/>
          </w:tcPr>
          <w:p w14:paraId="554FD1A4">
            <w:pPr>
              <w:spacing w:before="20" w:after="20" w:line="300" w:lineRule="auto"/>
              <w:rPr>
                <w:rFonts w:hint="eastAsia"/>
              </w:rPr>
            </w:pPr>
            <w:r>
              <w:rPr>
                <w:rFonts w:ascii="Times New Roman" w:hAnsi="Times New Roman" w:eastAsia="宋体"/>
                <w:sz w:val="21"/>
                <w:szCs w:val="21"/>
              </w:rPr>
              <w:t>未采取补救措施，环境影响未扩大</w:t>
            </w:r>
          </w:p>
        </w:tc>
        <w:tc>
          <w:tcPr>
            <w:tcW w:w="1103" w:type="dxa"/>
            <w:noWrap w:val="0"/>
            <w:vAlign w:val="center"/>
          </w:tcPr>
          <w:p w14:paraId="4A14C57A">
            <w:pPr>
              <w:spacing w:before="20" w:after="20" w:line="300" w:lineRule="auto"/>
              <w:jc w:val="center"/>
              <w:rPr>
                <w:rFonts w:hint="eastAsia"/>
              </w:rPr>
            </w:pPr>
            <w:r>
              <w:rPr>
                <w:rFonts w:ascii="Times New Roman" w:hAnsi="Times New Roman" w:eastAsia="宋体"/>
                <w:sz w:val="21"/>
                <w:szCs w:val="21"/>
              </w:rPr>
              <w:t>0</w:t>
            </w:r>
          </w:p>
        </w:tc>
      </w:tr>
      <w:tr w14:paraId="6B399C40">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3" w:type="dxa"/>
            <w:vMerge w:val="continue"/>
            <w:noWrap w:val="0"/>
            <w:vAlign w:val="center"/>
          </w:tcPr>
          <w:p w14:paraId="1ADFC8D1">
            <w:pPr>
              <w:spacing w:before="20" w:after="20" w:line="300" w:lineRule="auto"/>
              <w:jc w:val="center"/>
              <w:rPr>
                <w:rFonts w:hint="eastAsia"/>
                <w:b/>
                <w:bCs/>
              </w:rPr>
            </w:pPr>
          </w:p>
        </w:tc>
        <w:tc>
          <w:tcPr>
            <w:tcW w:w="5670" w:type="dxa"/>
            <w:noWrap w:val="0"/>
            <w:vAlign w:val="center"/>
          </w:tcPr>
          <w:p w14:paraId="19C64AC6">
            <w:pPr>
              <w:spacing w:before="20" w:after="20" w:line="300" w:lineRule="auto"/>
              <w:rPr>
                <w:rFonts w:hint="eastAsia"/>
              </w:rPr>
            </w:pPr>
            <w:r>
              <w:rPr>
                <w:rFonts w:ascii="Times New Roman" w:hAnsi="Times New Roman" w:eastAsia="宋体"/>
                <w:sz w:val="21"/>
                <w:szCs w:val="21"/>
              </w:rPr>
              <w:t>未采取补救措施，环境影响持续扩大</w:t>
            </w:r>
          </w:p>
        </w:tc>
        <w:tc>
          <w:tcPr>
            <w:tcW w:w="1103" w:type="dxa"/>
            <w:noWrap w:val="0"/>
            <w:vAlign w:val="center"/>
          </w:tcPr>
          <w:p w14:paraId="7D52375D">
            <w:pPr>
              <w:spacing w:before="20" w:after="20" w:line="300" w:lineRule="auto"/>
              <w:jc w:val="center"/>
              <w:rPr>
                <w:rFonts w:hint="eastAsia"/>
              </w:rPr>
            </w:pPr>
            <w:r>
              <w:rPr>
                <w:rFonts w:ascii="Times New Roman" w:hAnsi="Times New Roman" w:eastAsia="宋体"/>
                <w:sz w:val="21"/>
                <w:szCs w:val="21"/>
              </w:rPr>
              <w:t>2</w:t>
            </w:r>
          </w:p>
        </w:tc>
      </w:tr>
      <w:tr w14:paraId="787DF7C0">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3" w:type="dxa"/>
            <w:vMerge w:val="restart"/>
            <w:noWrap w:val="0"/>
            <w:vAlign w:val="center"/>
          </w:tcPr>
          <w:p w14:paraId="33CB2497">
            <w:pPr>
              <w:spacing w:before="20" w:after="20" w:line="300" w:lineRule="auto"/>
              <w:jc w:val="center"/>
              <w:rPr>
                <w:rFonts w:hint="eastAsia"/>
                <w:b/>
                <w:bCs/>
              </w:rPr>
            </w:pPr>
            <w:r>
              <w:rPr>
                <w:rFonts w:ascii="Times New Roman" w:hAnsi="Times New Roman" w:eastAsia="宋体"/>
                <w:b/>
                <w:bCs/>
                <w:sz w:val="21"/>
                <w:szCs w:val="21"/>
              </w:rPr>
              <w:t>经济承受度</w:t>
            </w:r>
          </w:p>
        </w:tc>
        <w:tc>
          <w:tcPr>
            <w:tcW w:w="5670" w:type="dxa"/>
            <w:noWrap w:val="0"/>
            <w:vAlign w:val="center"/>
          </w:tcPr>
          <w:p w14:paraId="4BFF0489">
            <w:pPr>
              <w:spacing w:before="20" w:after="20" w:line="300" w:lineRule="auto"/>
              <w:rPr>
                <w:rFonts w:hint="eastAsia"/>
              </w:rPr>
            </w:pPr>
            <w:r>
              <w:rPr>
                <w:rFonts w:ascii="Times New Roman" w:hAnsi="Times New Roman" w:eastAsia="宋体"/>
                <w:sz w:val="21"/>
                <w:szCs w:val="21"/>
              </w:rPr>
              <w:t>微型企业事业单位/个体工商户/自然人</w:t>
            </w:r>
          </w:p>
        </w:tc>
        <w:tc>
          <w:tcPr>
            <w:tcW w:w="1103" w:type="dxa"/>
            <w:noWrap w:val="0"/>
            <w:vAlign w:val="center"/>
          </w:tcPr>
          <w:p w14:paraId="09637952">
            <w:pPr>
              <w:spacing w:before="20" w:after="20" w:line="300" w:lineRule="auto"/>
              <w:jc w:val="center"/>
              <w:rPr>
                <w:rFonts w:hint="eastAsia"/>
              </w:rPr>
            </w:pPr>
            <w:r>
              <w:rPr>
                <w:rFonts w:ascii="Times New Roman" w:hAnsi="Times New Roman" w:eastAsia="宋体"/>
                <w:sz w:val="21"/>
                <w:szCs w:val="21"/>
              </w:rPr>
              <w:t>-2</w:t>
            </w:r>
          </w:p>
        </w:tc>
      </w:tr>
      <w:tr w14:paraId="3C0BD39B">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3" w:type="dxa"/>
            <w:vMerge w:val="continue"/>
            <w:noWrap w:val="0"/>
            <w:vAlign w:val="center"/>
          </w:tcPr>
          <w:p w14:paraId="0E4B1DC8">
            <w:pPr>
              <w:spacing w:before="20" w:after="20" w:line="300" w:lineRule="auto"/>
              <w:jc w:val="center"/>
              <w:rPr>
                <w:rFonts w:hint="eastAsia"/>
              </w:rPr>
            </w:pPr>
          </w:p>
        </w:tc>
        <w:tc>
          <w:tcPr>
            <w:tcW w:w="5670" w:type="dxa"/>
            <w:noWrap w:val="0"/>
            <w:vAlign w:val="center"/>
          </w:tcPr>
          <w:p w14:paraId="62B80391">
            <w:pPr>
              <w:spacing w:before="20" w:after="20" w:line="300" w:lineRule="auto"/>
              <w:rPr>
                <w:rFonts w:hint="eastAsia"/>
              </w:rPr>
            </w:pPr>
            <w:r>
              <w:rPr>
                <w:rFonts w:ascii="Times New Roman" w:hAnsi="Times New Roman" w:eastAsia="宋体"/>
                <w:sz w:val="21"/>
                <w:szCs w:val="21"/>
              </w:rPr>
              <w:t>小型企业事业单位</w:t>
            </w:r>
          </w:p>
        </w:tc>
        <w:tc>
          <w:tcPr>
            <w:tcW w:w="1103" w:type="dxa"/>
            <w:noWrap w:val="0"/>
            <w:vAlign w:val="center"/>
          </w:tcPr>
          <w:p w14:paraId="3F8CD626">
            <w:pPr>
              <w:spacing w:before="20" w:after="20" w:line="300" w:lineRule="auto"/>
              <w:jc w:val="center"/>
              <w:rPr>
                <w:rFonts w:hint="eastAsia"/>
              </w:rPr>
            </w:pPr>
            <w:r>
              <w:rPr>
                <w:rFonts w:ascii="Times New Roman" w:hAnsi="Times New Roman" w:eastAsia="宋体"/>
                <w:sz w:val="21"/>
                <w:szCs w:val="21"/>
              </w:rPr>
              <w:t>-1</w:t>
            </w:r>
          </w:p>
        </w:tc>
      </w:tr>
      <w:tr w14:paraId="6E543D34">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3" w:type="dxa"/>
            <w:vMerge w:val="continue"/>
            <w:noWrap w:val="0"/>
            <w:vAlign w:val="center"/>
          </w:tcPr>
          <w:p w14:paraId="546B1764">
            <w:pPr>
              <w:spacing w:before="20" w:after="20" w:line="300" w:lineRule="auto"/>
              <w:jc w:val="center"/>
              <w:rPr>
                <w:rFonts w:hint="eastAsia"/>
              </w:rPr>
            </w:pPr>
          </w:p>
        </w:tc>
        <w:tc>
          <w:tcPr>
            <w:tcW w:w="5670" w:type="dxa"/>
            <w:noWrap w:val="0"/>
            <w:vAlign w:val="center"/>
          </w:tcPr>
          <w:p w14:paraId="4D54C474">
            <w:pPr>
              <w:spacing w:before="20" w:after="20" w:line="300" w:lineRule="auto"/>
              <w:rPr>
                <w:rFonts w:hint="eastAsia"/>
              </w:rPr>
            </w:pPr>
            <w:r>
              <w:rPr>
                <w:rFonts w:ascii="Times New Roman" w:hAnsi="Times New Roman" w:eastAsia="宋体"/>
                <w:sz w:val="21"/>
                <w:szCs w:val="21"/>
              </w:rPr>
              <w:t>中型企业事业单位</w:t>
            </w:r>
          </w:p>
        </w:tc>
        <w:tc>
          <w:tcPr>
            <w:tcW w:w="1103" w:type="dxa"/>
            <w:noWrap w:val="0"/>
            <w:vAlign w:val="center"/>
          </w:tcPr>
          <w:p w14:paraId="2FC8B990">
            <w:pPr>
              <w:spacing w:before="20" w:after="20" w:line="300" w:lineRule="auto"/>
              <w:jc w:val="center"/>
              <w:rPr>
                <w:rFonts w:hint="eastAsia"/>
              </w:rPr>
            </w:pPr>
            <w:r>
              <w:rPr>
                <w:rFonts w:ascii="Times New Roman" w:hAnsi="Times New Roman" w:eastAsia="宋体"/>
                <w:sz w:val="21"/>
                <w:szCs w:val="21"/>
              </w:rPr>
              <w:t>0</w:t>
            </w:r>
          </w:p>
        </w:tc>
      </w:tr>
      <w:tr w14:paraId="6976BECF">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3" w:type="dxa"/>
            <w:vMerge w:val="continue"/>
            <w:noWrap w:val="0"/>
            <w:vAlign w:val="center"/>
          </w:tcPr>
          <w:p w14:paraId="250E34A2">
            <w:pPr>
              <w:spacing w:before="20" w:after="20" w:line="300" w:lineRule="auto"/>
              <w:jc w:val="center"/>
              <w:rPr>
                <w:rFonts w:hint="eastAsia"/>
              </w:rPr>
            </w:pPr>
          </w:p>
        </w:tc>
        <w:tc>
          <w:tcPr>
            <w:tcW w:w="5670" w:type="dxa"/>
            <w:noWrap w:val="0"/>
            <w:vAlign w:val="center"/>
          </w:tcPr>
          <w:p w14:paraId="1694C3CF">
            <w:pPr>
              <w:spacing w:before="20" w:after="20" w:line="300" w:lineRule="auto"/>
              <w:rPr>
                <w:rFonts w:hint="eastAsia"/>
              </w:rPr>
            </w:pPr>
            <w:r>
              <w:rPr>
                <w:rFonts w:ascii="Times New Roman" w:hAnsi="Times New Roman" w:eastAsia="宋体"/>
                <w:sz w:val="21"/>
                <w:szCs w:val="21"/>
              </w:rPr>
              <w:t>大型企业事业单位</w:t>
            </w:r>
          </w:p>
        </w:tc>
        <w:tc>
          <w:tcPr>
            <w:tcW w:w="1103" w:type="dxa"/>
            <w:noWrap w:val="0"/>
            <w:vAlign w:val="center"/>
          </w:tcPr>
          <w:p w14:paraId="31EE8B27">
            <w:pPr>
              <w:spacing w:before="20" w:after="20" w:line="300" w:lineRule="auto"/>
              <w:jc w:val="center"/>
              <w:rPr>
                <w:rFonts w:hint="eastAsia"/>
              </w:rPr>
            </w:pPr>
            <w:r>
              <w:rPr>
                <w:rFonts w:ascii="Times New Roman" w:hAnsi="Times New Roman" w:eastAsia="宋体"/>
                <w:sz w:val="21"/>
                <w:szCs w:val="21"/>
              </w:rPr>
              <w:t>1</w:t>
            </w:r>
          </w:p>
        </w:tc>
      </w:tr>
      <w:tr w14:paraId="43C076DD">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3" w:type="dxa"/>
            <w:vMerge w:val="continue"/>
            <w:noWrap w:val="0"/>
            <w:vAlign w:val="center"/>
          </w:tcPr>
          <w:p w14:paraId="69983795">
            <w:pPr>
              <w:spacing w:before="20" w:after="20" w:line="300" w:lineRule="auto"/>
              <w:jc w:val="center"/>
              <w:rPr>
                <w:rFonts w:hint="eastAsia"/>
              </w:rPr>
            </w:pPr>
          </w:p>
        </w:tc>
        <w:tc>
          <w:tcPr>
            <w:tcW w:w="5670" w:type="dxa"/>
            <w:noWrap w:val="0"/>
            <w:vAlign w:val="center"/>
          </w:tcPr>
          <w:p w14:paraId="27DA1737">
            <w:pPr>
              <w:spacing w:before="20" w:after="20" w:line="300" w:lineRule="auto"/>
              <w:rPr>
                <w:rFonts w:hint="eastAsia"/>
              </w:rPr>
            </w:pPr>
            <w:r>
              <w:rPr>
                <w:rFonts w:ascii="Times New Roman" w:hAnsi="Times New Roman" w:eastAsia="宋体"/>
                <w:sz w:val="21"/>
                <w:szCs w:val="21"/>
              </w:rPr>
              <w:t>央企或上市公司</w:t>
            </w:r>
          </w:p>
        </w:tc>
        <w:tc>
          <w:tcPr>
            <w:tcW w:w="1103" w:type="dxa"/>
            <w:noWrap w:val="0"/>
            <w:vAlign w:val="center"/>
          </w:tcPr>
          <w:p w14:paraId="12C06895">
            <w:pPr>
              <w:spacing w:before="20" w:after="20" w:line="300" w:lineRule="auto"/>
              <w:jc w:val="center"/>
              <w:rPr>
                <w:rFonts w:hint="eastAsia"/>
              </w:rPr>
            </w:pPr>
            <w:r>
              <w:rPr>
                <w:rFonts w:ascii="Times New Roman" w:hAnsi="Times New Roman" w:eastAsia="宋体"/>
                <w:sz w:val="21"/>
                <w:szCs w:val="21"/>
              </w:rPr>
              <w:t>2</w:t>
            </w:r>
          </w:p>
        </w:tc>
      </w:tr>
    </w:tbl>
    <w:p w14:paraId="4A9B97A2">
      <w:pPr>
        <w:spacing w:before="120" w:beforeLines="50" w:after="0" w:line="360" w:lineRule="auto"/>
        <w:ind w:firstLine="424" w:firstLineChars="193"/>
        <w:rPr>
          <w:rFonts w:hint="eastAsia"/>
        </w:rPr>
      </w:pPr>
      <w:r>
        <w:t>备注：为便于代入函数公式进行计算，上述表格用数值表示裁量因子不同的裁量等级。其中，1—5代表了违法行为从轻微到严重的不同程度，-2—2代表了可予从轻或者从重的不同情形。</w:t>
      </w:r>
    </w:p>
    <w:p w14:paraId="4087FBE4">
      <w:pPr>
        <w:spacing w:after="0" w:line="240" w:lineRule="exact"/>
        <w:rPr>
          <w:rFonts w:hint="eastAsia"/>
        </w:rPr>
      </w:pPr>
    </w:p>
    <w:p w14:paraId="5A6E6DD1">
      <w:pPr>
        <w:spacing w:after="120" w:afterLines="50" w:line="480" w:lineRule="exact"/>
        <w:rPr>
          <w:rFonts w:ascii="Times New Roman" w:hAnsi="Times New Roman" w:eastAsia="黑体"/>
          <w:sz w:val="28"/>
          <w:szCs w:val="28"/>
        </w:rPr>
      </w:pPr>
      <w:r>
        <w:rPr>
          <w:rFonts w:ascii="Times New Roman" w:hAnsi="Times New Roman" w:eastAsia="黑体"/>
          <w:sz w:val="28"/>
          <w:szCs w:val="28"/>
        </w:rPr>
        <w:t>四、生态环境分区管控裁量系数表</w:t>
      </w:r>
    </w:p>
    <w:tbl>
      <w:tblPr>
        <w:tblStyle w:val="8"/>
        <w:tblW w:w="9026" w:type="dxa"/>
        <w:tblInd w:w="10" w:type="dxa"/>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55C065D3">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noWrap w:val="0"/>
            <w:vAlign w:val="center"/>
          </w:tcPr>
          <w:p w14:paraId="08EEF79A">
            <w:pPr>
              <w:spacing w:before="20" w:after="20" w:line="300" w:lineRule="auto"/>
              <w:jc w:val="center"/>
              <w:rPr>
                <w:rFonts w:hint="eastAsia"/>
              </w:rPr>
            </w:pPr>
            <w:r>
              <w:rPr>
                <w:rFonts w:ascii="Times New Roman" w:hAnsi="Times New Roman" w:eastAsia="宋体"/>
                <w:b/>
                <w:sz w:val="21"/>
                <w:szCs w:val="21"/>
              </w:rPr>
              <w:t>所处生态环境分区管控单元</w:t>
            </w:r>
          </w:p>
        </w:tc>
        <w:tc>
          <w:tcPr>
            <w:tcW w:w="4513" w:type="dxa"/>
            <w:noWrap w:val="0"/>
            <w:vAlign w:val="center"/>
          </w:tcPr>
          <w:p w14:paraId="22F53D03">
            <w:pPr>
              <w:spacing w:before="20" w:after="20" w:line="300" w:lineRule="auto"/>
              <w:jc w:val="center"/>
              <w:rPr>
                <w:rFonts w:hint="eastAsia"/>
              </w:rPr>
            </w:pPr>
            <w:r>
              <w:rPr>
                <w:rFonts w:ascii="Times New Roman" w:hAnsi="Times New Roman" w:eastAsia="宋体"/>
                <w:b/>
                <w:sz w:val="21"/>
                <w:szCs w:val="21"/>
              </w:rPr>
              <w:t>生态环境分区管控裁量系数</w:t>
            </w:r>
          </w:p>
        </w:tc>
      </w:tr>
      <w:tr w14:paraId="2DEE0833">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noWrap w:val="0"/>
            <w:vAlign w:val="center"/>
          </w:tcPr>
          <w:p w14:paraId="2D5EBF0B">
            <w:pPr>
              <w:spacing w:before="20" w:after="20" w:line="300" w:lineRule="auto"/>
              <w:jc w:val="center"/>
              <w:rPr>
                <w:rFonts w:hint="eastAsia"/>
              </w:rPr>
            </w:pPr>
            <w:r>
              <w:rPr>
                <w:rFonts w:ascii="Times New Roman" w:hAnsi="Times New Roman" w:eastAsia="宋体"/>
                <w:sz w:val="21"/>
                <w:szCs w:val="21"/>
              </w:rPr>
              <w:t>优先保护单元</w:t>
            </w:r>
          </w:p>
        </w:tc>
        <w:tc>
          <w:tcPr>
            <w:tcW w:w="4513" w:type="dxa"/>
            <w:noWrap w:val="0"/>
            <w:vAlign w:val="center"/>
          </w:tcPr>
          <w:p w14:paraId="7433C0BE">
            <w:pPr>
              <w:spacing w:before="20" w:after="20" w:line="300" w:lineRule="auto"/>
              <w:jc w:val="center"/>
              <w:rPr>
                <w:rFonts w:hint="eastAsia"/>
                <w:color w:val="000000"/>
              </w:rPr>
            </w:pPr>
            <w:r>
              <w:rPr>
                <w:rFonts w:ascii="Times New Roman" w:hAnsi="Times New Roman" w:eastAsia="宋体"/>
                <w:color w:val="000000"/>
                <w:sz w:val="21"/>
                <w:szCs w:val="21"/>
              </w:rPr>
              <w:t>0.8＜C≤1.0</w:t>
            </w:r>
          </w:p>
        </w:tc>
      </w:tr>
      <w:tr w14:paraId="1C34351A">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noWrap w:val="0"/>
            <w:vAlign w:val="center"/>
          </w:tcPr>
          <w:p w14:paraId="2CC984FF">
            <w:pPr>
              <w:spacing w:before="20" w:after="20" w:line="300" w:lineRule="auto"/>
              <w:jc w:val="center"/>
              <w:rPr>
                <w:rFonts w:hint="eastAsia"/>
              </w:rPr>
            </w:pPr>
            <w:r>
              <w:rPr>
                <w:rFonts w:ascii="Times New Roman" w:hAnsi="Times New Roman" w:eastAsia="宋体"/>
                <w:sz w:val="21"/>
                <w:szCs w:val="21"/>
              </w:rPr>
              <w:t>重点管控单元</w:t>
            </w:r>
          </w:p>
        </w:tc>
        <w:tc>
          <w:tcPr>
            <w:tcW w:w="4513" w:type="dxa"/>
            <w:noWrap w:val="0"/>
            <w:vAlign w:val="center"/>
          </w:tcPr>
          <w:p w14:paraId="431A9810">
            <w:pPr>
              <w:spacing w:before="20" w:after="20" w:line="300" w:lineRule="auto"/>
              <w:jc w:val="center"/>
              <w:rPr>
                <w:rFonts w:hint="eastAsia"/>
                <w:color w:val="000000"/>
              </w:rPr>
            </w:pPr>
            <w:r>
              <w:rPr>
                <w:rFonts w:ascii="Times New Roman" w:hAnsi="Times New Roman" w:eastAsia="宋体"/>
                <w:b w:val="0"/>
                <w:bCs w:val="0"/>
                <w:color w:val="000000"/>
                <w:sz w:val="21"/>
                <w:szCs w:val="21"/>
              </w:rPr>
              <w:t>0.4≤C≤0.8</w:t>
            </w:r>
          </w:p>
        </w:tc>
      </w:tr>
      <w:tr w14:paraId="7C3AA833">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noWrap w:val="0"/>
            <w:vAlign w:val="center"/>
          </w:tcPr>
          <w:p w14:paraId="68907482">
            <w:pPr>
              <w:spacing w:before="20" w:after="20" w:line="300" w:lineRule="auto"/>
              <w:jc w:val="center"/>
              <w:rPr>
                <w:rFonts w:hint="eastAsia"/>
              </w:rPr>
            </w:pPr>
            <w:r>
              <w:rPr>
                <w:rFonts w:ascii="Times New Roman" w:hAnsi="Times New Roman" w:eastAsia="宋体"/>
                <w:sz w:val="21"/>
                <w:szCs w:val="21"/>
              </w:rPr>
              <w:t>一般管控单元</w:t>
            </w:r>
          </w:p>
        </w:tc>
        <w:tc>
          <w:tcPr>
            <w:tcW w:w="4513" w:type="dxa"/>
            <w:noWrap w:val="0"/>
            <w:vAlign w:val="center"/>
          </w:tcPr>
          <w:p w14:paraId="06EDC968">
            <w:pPr>
              <w:spacing w:before="20" w:after="20" w:line="300" w:lineRule="auto"/>
              <w:jc w:val="center"/>
              <w:rPr>
                <w:rFonts w:hint="eastAsia"/>
              </w:rPr>
            </w:pPr>
            <w:r>
              <w:rPr>
                <w:rFonts w:ascii="Times New Roman" w:hAnsi="Times New Roman" w:eastAsia="宋体"/>
                <w:sz w:val="21"/>
                <w:szCs w:val="21"/>
              </w:rPr>
              <w:t>0.1≤C＜0.4</w:t>
            </w:r>
          </w:p>
        </w:tc>
      </w:tr>
    </w:tbl>
    <w:p w14:paraId="7B2F5AC7">
      <w:pPr>
        <w:spacing w:after="0" w:line="560" w:lineRule="exact"/>
        <w:ind w:firstLine="560" w:firstLineChars="200"/>
        <w:jc w:val="both"/>
        <w:rPr>
          <w:rFonts w:ascii="Times New Roman" w:hAnsi="Times New Roman" w:eastAsia="仿宋_GB2312"/>
          <w:sz w:val="28"/>
          <w:szCs w:val="28"/>
        </w:rPr>
      </w:pPr>
      <w:r>
        <w:rPr>
          <w:rFonts w:ascii="Times New Roman" w:hAnsi="Times New Roman" w:eastAsia="仿宋_GB2312"/>
          <w:sz w:val="28"/>
          <w:szCs w:val="28"/>
        </w:rPr>
        <w:t>注：</w:t>
      </w:r>
    </w:p>
    <w:p w14:paraId="25EC1B75">
      <w:pPr>
        <w:spacing w:after="0" w:line="560" w:lineRule="exact"/>
        <w:ind w:firstLine="560" w:firstLineChars="200"/>
        <w:jc w:val="both"/>
        <w:rPr>
          <w:rFonts w:ascii="Times New Roman" w:hAnsi="Times New Roman" w:eastAsia="仿宋_GB2312"/>
          <w:sz w:val="28"/>
          <w:szCs w:val="28"/>
        </w:rPr>
      </w:pPr>
      <w:r>
        <w:rPr>
          <w:rFonts w:hint="eastAsia" w:ascii="Times New Roman" w:hAnsi="Times New Roman" w:eastAsia="仿宋_GB2312"/>
          <w:sz w:val="28"/>
          <w:szCs w:val="28"/>
        </w:rPr>
        <w:t>1.根据《昆明市生态环境局关于印发&lt;昆明市生态环境分区管控动态更新方案（2023年）&gt;的通知》（昆生环通〔2024〕27号），昆明市共划分132个生态环境管控单元，分为优先保护、重点管控和一般管控3类。</w:t>
      </w:r>
    </w:p>
    <w:p w14:paraId="2B36687A">
      <w:pPr>
        <w:spacing w:after="0" w:line="560" w:lineRule="exact"/>
        <w:ind w:firstLine="560" w:firstLineChars="200"/>
        <w:jc w:val="both"/>
        <w:rPr>
          <w:rFonts w:ascii="Times New Roman" w:hAnsi="Times New Roman" w:eastAsia="仿宋_GB2312"/>
          <w:sz w:val="28"/>
          <w:szCs w:val="28"/>
        </w:rPr>
      </w:pPr>
      <w:r>
        <w:rPr>
          <w:rFonts w:hint="eastAsia" w:ascii="Times New Roman" w:hAnsi="Times New Roman" w:eastAsia="仿宋_GB2312"/>
          <w:sz w:val="28"/>
          <w:szCs w:val="28"/>
        </w:rPr>
        <w:t>优先保护单元：共42个，包含生态保护红线和一般生态空间，生态保护红线全面与《昆明市国土空间总体规划（2021-2035年）》衔接，全市生态保护红线面积4274.70</w:t>
      </w:r>
      <w:r>
        <w:rPr>
          <w:rFonts w:ascii="Times New Roman" w:hAnsi="Times New Roman" w:eastAsia="仿宋_GB2312"/>
          <w:sz w:val="28"/>
          <w:szCs w:val="28"/>
        </w:rPr>
        <w:t>km²</w:t>
      </w:r>
      <w:r>
        <w:rPr>
          <w:rFonts w:hint="eastAsia" w:ascii="Times New Roman" w:hAnsi="Times New Roman" w:eastAsia="仿宋_GB2312"/>
          <w:sz w:val="28"/>
          <w:szCs w:val="28"/>
        </w:rPr>
        <w:t>，占全市国土面积的20.34%，全市一般生态空间面积5151.56</w:t>
      </w:r>
      <w:r>
        <w:rPr>
          <w:rFonts w:ascii="Times New Roman" w:hAnsi="Times New Roman" w:eastAsia="仿宋"/>
          <w:sz w:val="28"/>
          <w:szCs w:val="21"/>
        </w:rPr>
        <w:t>km²</w:t>
      </w:r>
      <w:r>
        <w:rPr>
          <w:rFonts w:hint="eastAsia" w:ascii="Times New Roman" w:hAnsi="Times New Roman" w:eastAsia="仿宋_GB2312"/>
          <w:sz w:val="28"/>
          <w:szCs w:val="28"/>
        </w:rPr>
        <w:t>，占国土空间面积的24.37%。</w:t>
      </w:r>
    </w:p>
    <w:p w14:paraId="3D988501">
      <w:pPr>
        <w:spacing w:after="0" w:line="560" w:lineRule="exact"/>
        <w:ind w:firstLine="560" w:firstLineChars="200"/>
        <w:jc w:val="both"/>
        <w:rPr>
          <w:rFonts w:ascii="Times New Roman" w:hAnsi="Times New Roman" w:eastAsia="仿宋_GB2312"/>
          <w:sz w:val="28"/>
          <w:szCs w:val="28"/>
        </w:rPr>
      </w:pPr>
      <w:r>
        <w:rPr>
          <w:rFonts w:hint="eastAsia" w:ascii="Times New Roman" w:hAnsi="Times New Roman" w:eastAsia="仿宋_GB2312"/>
          <w:sz w:val="28"/>
          <w:szCs w:val="28"/>
        </w:rPr>
        <w:t>重点管控单元：共76个，包含开发强度高、污染物排放强度大、环境问题相对集中的区域和大气环境布局敏感、弱扩散区等，面积占比为36.22%。</w:t>
      </w:r>
    </w:p>
    <w:p w14:paraId="538DDBDC">
      <w:pPr>
        <w:spacing w:after="0" w:line="560" w:lineRule="exact"/>
        <w:ind w:firstLine="560" w:firstLineChars="200"/>
        <w:jc w:val="both"/>
        <w:rPr>
          <w:rFonts w:ascii="Times New Roman" w:hAnsi="Times New Roman" w:eastAsia="仿宋_GB2312"/>
          <w:sz w:val="28"/>
          <w:szCs w:val="28"/>
        </w:rPr>
      </w:pPr>
      <w:r>
        <w:rPr>
          <w:rFonts w:hint="eastAsia" w:ascii="Times New Roman" w:hAnsi="Times New Roman" w:eastAsia="仿宋_GB2312"/>
          <w:sz w:val="28"/>
          <w:szCs w:val="28"/>
        </w:rPr>
        <w:t>一般管控单元：共14个，为优先保护、重点管控单元之外的区域。</w:t>
      </w:r>
    </w:p>
    <w:p w14:paraId="3CDF7A7F">
      <w:pPr>
        <w:spacing w:after="0" w:line="560" w:lineRule="exact"/>
        <w:ind w:firstLine="0" w:firstLineChars="0"/>
        <w:jc w:val="both"/>
        <w:rPr>
          <w:rFonts w:hint="eastAsia"/>
        </w:rPr>
      </w:pPr>
    </w:p>
    <w:p w14:paraId="6264C402">
      <w:pPr>
        <w:spacing w:after="120" w:afterLines="50" w:line="480" w:lineRule="exact"/>
        <w:rPr>
          <w:rFonts w:ascii="Times New Roman" w:hAnsi="Times New Roman" w:eastAsia="黑体"/>
          <w:sz w:val="28"/>
          <w:szCs w:val="28"/>
        </w:rPr>
      </w:pPr>
      <w:r>
        <w:rPr>
          <w:rFonts w:ascii="Times New Roman" w:hAnsi="Times New Roman" w:eastAsia="黑体"/>
          <w:sz w:val="28"/>
          <w:szCs w:val="28"/>
        </w:rPr>
        <w:t>五、昆明市生态环境管控单元统计表</w:t>
      </w:r>
    </w:p>
    <w:tbl>
      <w:tblPr>
        <w:tblStyle w:val="8"/>
        <w:tblW w:w="9026" w:type="dxa"/>
        <w:tblInd w:w="10" w:type="dxa"/>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00"/>
        <w:gridCol w:w="2126"/>
        <w:gridCol w:w="1500"/>
        <w:gridCol w:w="1500"/>
        <w:gridCol w:w="1500"/>
        <w:gridCol w:w="1500"/>
      </w:tblGrid>
      <w:tr w14:paraId="77B3CC76">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0" w:type="dxa"/>
            <w:noWrap w:val="0"/>
            <w:vAlign w:val="center"/>
          </w:tcPr>
          <w:p w14:paraId="3E027325">
            <w:pPr>
              <w:spacing w:before="20" w:after="20" w:line="300" w:lineRule="auto"/>
              <w:jc w:val="center"/>
              <w:rPr>
                <w:rFonts w:hint="eastAsia"/>
              </w:rPr>
            </w:pPr>
            <w:r>
              <w:rPr>
                <w:rFonts w:ascii="Times New Roman" w:hAnsi="Times New Roman" w:eastAsia="宋体"/>
                <w:b/>
                <w:sz w:val="21"/>
                <w:szCs w:val="21"/>
              </w:rPr>
              <w:t>序号</w:t>
            </w:r>
          </w:p>
        </w:tc>
        <w:tc>
          <w:tcPr>
            <w:tcW w:w="2126" w:type="dxa"/>
            <w:noWrap w:val="0"/>
            <w:vAlign w:val="center"/>
          </w:tcPr>
          <w:p w14:paraId="2DE31A70">
            <w:pPr>
              <w:spacing w:before="20" w:after="20" w:line="300" w:lineRule="auto"/>
              <w:jc w:val="center"/>
              <w:rPr>
                <w:rFonts w:hint="eastAsia"/>
              </w:rPr>
            </w:pPr>
            <w:r>
              <w:rPr>
                <w:rFonts w:ascii="Times New Roman" w:hAnsi="Times New Roman" w:eastAsia="宋体"/>
                <w:b/>
                <w:sz w:val="21"/>
                <w:szCs w:val="21"/>
              </w:rPr>
              <w:t>县（市）区</w:t>
            </w:r>
          </w:p>
        </w:tc>
        <w:tc>
          <w:tcPr>
            <w:tcW w:w="1500" w:type="dxa"/>
            <w:noWrap w:val="0"/>
            <w:vAlign w:val="center"/>
          </w:tcPr>
          <w:p w14:paraId="7ABBAB4D">
            <w:pPr>
              <w:spacing w:before="20" w:after="20" w:line="300" w:lineRule="auto"/>
              <w:jc w:val="center"/>
              <w:rPr>
                <w:rFonts w:hint="eastAsia"/>
              </w:rPr>
            </w:pPr>
            <w:r>
              <w:rPr>
                <w:rFonts w:ascii="Times New Roman" w:hAnsi="Times New Roman" w:eastAsia="宋体"/>
                <w:b/>
                <w:sz w:val="21"/>
                <w:szCs w:val="21"/>
              </w:rPr>
              <w:t>数量</w:t>
            </w:r>
          </w:p>
        </w:tc>
        <w:tc>
          <w:tcPr>
            <w:tcW w:w="1500" w:type="dxa"/>
            <w:noWrap w:val="0"/>
            <w:vAlign w:val="center"/>
          </w:tcPr>
          <w:p w14:paraId="1F8222F9">
            <w:pPr>
              <w:spacing w:before="20" w:after="20" w:line="300" w:lineRule="auto"/>
              <w:jc w:val="center"/>
              <w:rPr>
                <w:rFonts w:hint="eastAsia"/>
              </w:rPr>
            </w:pPr>
            <w:r>
              <w:rPr>
                <w:rFonts w:ascii="Times New Roman" w:hAnsi="Times New Roman" w:eastAsia="宋体"/>
                <w:b/>
                <w:sz w:val="21"/>
                <w:szCs w:val="21"/>
              </w:rPr>
              <w:t>优先保护单元</w:t>
            </w:r>
          </w:p>
        </w:tc>
        <w:tc>
          <w:tcPr>
            <w:tcW w:w="1500" w:type="dxa"/>
            <w:noWrap w:val="0"/>
            <w:vAlign w:val="center"/>
          </w:tcPr>
          <w:p w14:paraId="7E90EEC0">
            <w:pPr>
              <w:spacing w:before="20" w:after="20" w:line="300" w:lineRule="auto"/>
              <w:jc w:val="center"/>
              <w:rPr>
                <w:rFonts w:hint="eastAsia"/>
              </w:rPr>
            </w:pPr>
            <w:r>
              <w:rPr>
                <w:rFonts w:ascii="Times New Roman" w:hAnsi="Times New Roman" w:eastAsia="宋体"/>
                <w:b/>
                <w:sz w:val="21"/>
                <w:szCs w:val="21"/>
              </w:rPr>
              <w:t>重点管控单元</w:t>
            </w:r>
          </w:p>
        </w:tc>
        <w:tc>
          <w:tcPr>
            <w:tcW w:w="1500" w:type="dxa"/>
            <w:noWrap w:val="0"/>
            <w:vAlign w:val="center"/>
          </w:tcPr>
          <w:p w14:paraId="61B6CF8A">
            <w:pPr>
              <w:spacing w:before="20" w:after="20" w:line="300" w:lineRule="auto"/>
              <w:jc w:val="center"/>
              <w:rPr>
                <w:rFonts w:hint="eastAsia"/>
              </w:rPr>
            </w:pPr>
            <w:r>
              <w:rPr>
                <w:rFonts w:ascii="Times New Roman" w:hAnsi="Times New Roman" w:eastAsia="宋体"/>
                <w:b/>
                <w:sz w:val="21"/>
                <w:szCs w:val="21"/>
              </w:rPr>
              <w:t>一般管控单元</w:t>
            </w:r>
          </w:p>
        </w:tc>
      </w:tr>
      <w:tr w14:paraId="6669FBE0">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0" w:type="dxa"/>
            <w:noWrap w:val="0"/>
            <w:vAlign w:val="center"/>
          </w:tcPr>
          <w:p w14:paraId="00EC3689">
            <w:pPr>
              <w:spacing w:before="20" w:after="20" w:line="300" w:lineRule="auto"/>
              <w:jc w:val="center"/>
              <w:rPr>
                <w:rFonts w:hint="eastAsia"/>
              </w:rPr>
            </w:pPr>
            <w:r>
              <w:rPr>
                <w:rFonts w:ascii="Times New Roman" w:hAnsi="Times New Roman" w:eastAsia="宋体"/>
                <w:sz w:val="21"/>
                <w:szCs w:val="21"/>
              </w:rPr>
              <w:t>1</w:t>
            </w:r>
          </w:p>
        </w:tc>
        <w:tc>
          <w:tcPr>
            <w:tcW w:w="2126" w:type="dxa"/>
            <w:noWrap w:val="0"/>
            <w:vAlign w:val="center"/>
          </w:tcPr>
          <w:p w14:paraId="2D948C60">
            <w:pPr>
              <w:spacing w:before="20" w:after="20" w:line="300" w:lineRule="auto"/>
              <w:jc w:val="center"/>
              <w:rPr>
                <w:rFonts w:hint="eastAsia"/>
              </w:rPr>
            </w:pPr>
            <w:r>
              <w:rPr>
                <w:rFonts w:ascii="Times New Roman" w:hAnsi="Times New Roman" w:eastAsia="宋体"/>
                <w:sz w:val="21"/>
                <w:szCs w:val="21"/>
              </w:rPr>
              <w:t>五华区</w:t>
            </w:r>
          </w:p>
        </w:tc>
        <w:tc>
          <w:tcPr>
            <w:tcW w:w="1500" w:type="dxa"/>
            <w:noWrap w:val="0"/>
            <w:vAlign w:val="center"/>
          </w:tcPr>
          <w:p w14:paraId="27F2C017">
            <w:pPr>
              <w:spacing w:before="20" w:after="20" w:line="300" w:lineRule="auto"/>
              <w:jc w:val="center"/>
              <w:rPr>
                <w:rFonts w:hint="eastAsia"/>
              </w:rPr>
            </w:pPr>
            <w:r>
              <w:rPr>
                <w:rFonts w:ascii="Times New Roman" w:hAnsi="Times New Roman" w:eastAsia="宋体"/>
                <w:sz w:val="21"/>
                <w:szCs w:val="21"/>
              </w:rPr>
              <w:t>8</w:t>
            </w:r>
          </w:p>
        </w:tc>
        <w:tc>
          <w:tcPr>
            <w:tcW w:w="1500" w:type="dxa"/>
            <w:noWrap w:val="0"/>
            <w:vAlign w:val="center"/>
          </w:tcPr>
          <w:p w14:paraId="3CF31352">
            <w:pPr>
              <w:spacing w:before="20" w:after="20" w:line="300" w:lineRule="auto"/>
              <w:jc w:val="center"/>
              <w:rPr>
                <w:rFonts w:hint="eastAsia"/>
              </w:rPr>
            </w:pPr>
            <w:r>
              <w:rPr>
                <w:rFonts w:ascii="Times New Roman" w:hAnsi="Times New Roman" w:eastAsia="宋体"/>
                <w:sz w:val="21"/>
                <w:szCs w:val="21"/>
              </w:rPr>
              <w:t>3</w:t>
            </w:r>
          </w:p>
        </w:tc>
        <w:tc>
          <w:tcPr>
            <w:tcW w:w="1500" w:type="dxa"/>
            <w:noWrap w:val="0"/>
            <w:vAlign w:val="center"/>
          </w:tcPr>
          <w:p w14:paraId="55D2737E">
            <w:pPr>
              <w:spacing w:before="20" w:after="20" w:line="300" w:lineRule="auto"/>
              <w:jc w:val="center"/>
              <w:rPr>
                <w:rFonts w:hint="eastAsia"/>
              </w:rPr>
            </w:pPr>
            <w:r>
              <w:rPr>
                <w:rFonts w:ascii="Times New Roman" w:hAnsi="Times New Roman" w:eastAsia="宋体"/>
                <w:sz w:val="21"/>
                <w:szCs w:val="21"/>
              </w:rPr>
              <w:t>4</w:t>
            </w:r>
          </w:p>
        </w:tc>
        <w:tc>
          <w:tcPr>
            <w:tcW w:w="1500" w:type="dxa"/>
            <w:noWrap w:val="0"/>
            <w:vAlign w:val="center"/>
          </w:tcPr>
          <w:p w14:paraId="40ED798C">
            <w:pPr>
              <w:spacing w:before="20" w:after="20" w:line="300" w:lineRule="auto"/>
              <w:jc w:val="center"/>
              <w:rPr>
                <w:rFonts w:hint="eastAsia"/>
              </w:rPr>
            </w:pPr>
            <w:r>
              <w:rPr>
                <w:rFonts w:ascii="Times New Roman" w:hAnsi="Times New Roman" w:eastAsia="宋体"/>
                <w:sz w:val="21"/>
                <w:szCs w:val="21"/>
              </w:rPr>
              <w:t>1</w:t>
            </w:r>
          </w:p>
        </w:tc>
      </w:tr>
      <w:tr w14:paraId="431997D3">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0" w:type="dxa"/>
            <w:noWrap w:val="0"/>
            <w:vAlign w:val="center"/>
          </w:tcPr>
          <w:p w14:paraId="642492F1">
            <w:pPr>
              <w:spacing w:before="20" w:after="20" w:line="300" w:lineRule="auto"/>
              <w:jc w:val="center"/>
              <w:rPr>
                <w:rFonts w:hint="eastAsia"/>
              </w:rPr>
            </w:pPr>
            <w:r>
              <w:rPr>
                <w:rFonts w:ascii="Times New Roman" w:hAnsi="Times New Roman" w:eastAsia="宋体"/>
                <w:sz w:val="21"/>
                <w:szCs w:val="21"/>
              </w:rPr>
              <w:t>2</w:t>
            </w:r>
          </w:p>
        </w:tc>
        <w:tc>
          <w:tcPr>
            <w:tcW w:w="2126" w:type="dxa"/>
            <w:noWrap w:val="0"/>
            <w:vAlign w:val="center"/>
          </w:tcPr>
          <w:p w14:paraId="4FCCE49E">
            <w:pPr>
              <w:spacing w:before="20" w:after="20" w:line="300" w:lineRule="auto"/>
              <w:jc w:val="center"/>
              <w:rPr>
                <w:rFonts w:hint="eastAsia"/>
              </w:rPr>
            </w:pPr>
            <w:r>
              <w:rPr>
                <w:rFonts w:ascii="Times New Roman" w:hAnsi="Times New Roman" w:eastAsia="宋体"/>
                <w:sz w:val="21"/>
                <w:szCs w:val="21"/>
              </w:rPr>
              <w:t>盘龙区</w:t>
            </w:r>
          </w:p>
        </w:tc>
        <w:tc>
          <w:tcPr>
            <w:tcW w:w="1500" w:type="dxa"/>
            <w:noWrap w:val="0"/>
            <w:vAlign w:val="center"/>
          </w:tcPr>
          <w:p w14:paraId="3A936D56">
            <w:pPr>
              <w:spacing w:before="20" w:after="20" w:line="300" w:lineRule="auto"/>
              <w:jc w:val="center"/>
              <w:rPr>
                <w:rFonts w:hint="eastAsia"/>
              </w:rPr>
            </w:pPr>
            <w:r>
              <w:rPr>
                <w:rFonts w:ascii="Times New Roman" w:hAnsi="Times New Roman" w:eastAsia="宋体"/>
                <w:sz w:val="21"/>
                <w:szCs w:val="21"/>
              </w:rPr>
              <w:t>6</w:t>
            </w:r>
          </w:p>
        </w:tc>
        <w:tc>
          <w:tcPr>
            <w:tcW w:w="1500" w:type="dxa"/>
            <w:noWrap w:val="0"/>
            <w:vAlign w:val="center"/>
          </w:tcPr>
          <w:p w14:paraId="0D682314">
            <w:pPr>
              <w:spacing w:before="20" w:after="20" w:line="300" w:lineRule="auto"/>
              <w:jc w:val="center"/>
              <w:rPr>
                <w:rFonts w:hint="eastAsia"/>
              </w:rPr>
            </w:pPr>
            <w:r>
              <w:rPr>
                <w:rFonts w:ascii="Times New Roman" w:hAnsi="Times New Roman" w:eastAsia="宋体"/>
                <w:sz w:val="21"/>
                <w:szCs w:val="21"/>
              </w:rPr>
              <w:t>3</w:t>
            </w:r>
          </w:p>
        </w:tc>
        <w:tc>
          <w:tcPr>
            <w:tcW w:w="1500" w:type="dxa"/>
            <w:noWrap w:val="0"/>
            <w:vAlign w:val="center"/>
          </w:tcPr>
          <w:p w14:paraId="24BED9B1">
            <w:pPr>
              <w:spacing w:before="20" w:after="20" w:line="300" w:lineRule="auto"/>
              <w:jc w:val="center"/>
              <w:rPr>
                <w:rFonts w:hint="eastAsia"/>
              </w:rPr>
            </w:pPr>
            <w:r>
              <w:rPr>
                <w:rFonts w:ascii="Times New Roman" w:hAnsi="Times New Roman" w:eastAsia="宋体"/>
                <w:sz w:val="21"/>
                <w:szCs w:val="21"/>
              </w:rPr>
              <w:t>2</w:t>
            </w:r>
          </w:p>
        </w:tc>
        <w:tc>
          <w:tcPr>
            <w:tcW w:w="1500" w:type="dxa"/>
            <w:noWrap w:val="0"/>
            <w:vAlign w:val="center"/>
          </w:tcPr>
          <w:p w14:paraId="492C4FD3">
            <w:pPr>
              <w:spacing w:before="20" w:after="20" w:line="300" w:lineRule="auto"/>
              <w:jc w:val="center"/>
              <w:rPr>
                <w:rFonts w:hint="eastAsia"/>
              </w:rPr>
            </w:pPr>
            <w:r>
              <w:rPr>
                <w:rFonts w:ascii="Times New Roman" w:hAnsi="Times New Roman" w:eastAsia="宋体"/>
                <w:sz w:val="21"/>
                <w:szCs w:val="21"/>
              </w:rPr>
              <w:t>1</w:t>
            </w:r>
          </w:p>
        </w:tc>
      </w:tr>
      <w:tr w14:paraId="7C8ACA28">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0" w:type="dxa"/>
            <w:noWrap w:val="0"/>
            <w:vAlign w:val="center"/>
          </w:tcPr>
          <w:p w14:paraId="5C115E30">
            <w:pPr>
              <w:spacing w:before="20" w:after="20" w:line="300" w:lineRule="auto"/>
              <w:jc w:val="center"/>
              <w:rPr>
                <w:rFonts w:hint="eastAsia"/>
              </w:rPr>
            </w:pPr>
            <w:r>
              <w:rPr>
                <w:rFonts w:ascii="Times New Roman" w:hAnsi="Times New Roman" w:eastAsia="宋体"/>
                <w:sz w:val="21"/>
                <w:szCs w:val="21"/>
              </w:rPr>
              <w:t>3</w:t>
            </w:r>
          </w:p>
        </w:tc>
        <w:tc>
          <w:tcPr>
            <w:tcW w:w="2126" w:type="dxa"/>
            <w:noWrap w:val="0"/>
            <w:vAlign w:val="center"/>
          </w:tcPr>
          <w:p w14:paraId="13050E36">
            <w:pPr>
              <w:spacing w:before="20" w:after="20" w:line="300" w:lineRule="auto"/>
              <w:jc w:val="center"/>
              <w:rPr>
                <w:rFonts w:hint="eastAsia"/>
              </w:rPr>
            </w:pPr>
            <w:r>
              <w:rPr>
                <w:rFonts w:ascii="Times New Roman" w:hAnsi="Times New Roman" w:eastAsia="宋体"/>
                <w:sz w:val="21"/>
                <w:szCs w:val="21"/>
              </w:rPr>
              <w:t>官渡区</w:t>
            </w:r>
          </w:p>
        </w:tc>
        <w:tc>
          <w:tcPr>
            <w:tcW w:w="1500" w:type="dxa"/>
            <w:noWrap w:val="0"/>
            <w:vAlign w:val="center"/>
          </w:tcPr>
          <w:p w14:paraId="1B8A8D35">
            <w:pPr>
              <w:spacing w:before="20" w:after="20" w:line="300" w:lineRule="auto"/>
              <w:jc w:val="center"/>
              <w:rPr>
                <w:rFonts w:hint="eastAsia"/>
              </w:rPr>
            </w:pPr>
            <w:r>
              <w:rPr>
                <w:rFonts w:ascii="Times New Roman" w:hAnsi="Times New Roman" w:eastAsia="宋体"/>
                <w:sz w:val="21"/>
                <w:szCs w:val="21"/>
              </w:rPr>
              <w:t>8</w:t>
            </w:r>
          </w:p>
        </w:tc>
        <w:tc>
          <w:tcPr>
            <w:tcW w:w="1500" w:type="dxa"/>
            <w:noWrap w:val="0"/>
            <w:vAlign w:val="center"/>
          </w:tcPr>
          <w:p w14:paraId="484BE608">
            <w:pPr>
              <w:spacing w:before="20" w:after="20" w:line="300" w:lineRule="auto"/>
              <w:jc w:val="center"/>
              <w:rPr>
                <w:rFonts w:hint="eastAsia"/>
              </w:rPr>
            </w:pPr>
            <w:r>
              <w:rPr>
                <w:rFonts w:ascii="Times New Roman" w:hAnsi="Times New Roman" w:eastAsia="宋体"/>
                <w:sz w:val="21"/>
                <w:szCs w:val="21"/>
              </w:rPr>
              <w:t>3</w:t>
            </w:r>
          </w:p>
        </w:tc>
        <w:tc>
          <w:tcPr>
            <w:tcW w:w="1500" w:type="dxa"/>
            <w:noWrap w:val="0"/>
            <w:vAlign w:val="center"/>
          </w:tcPr>
          <w:p w14:paraId="2680E4C6">
            <w:pPr>
              <w:spacing w:before="20" w:after="20" w:line="300" w:lineRule="auto"/>
              <w:jc w:val="center"/>
              <w:rPr>
                <w:rFonts w:hint="eastAsia"/>
              </w:rPr>
            </w:pPr>
            <w:r>
              <w:rPr>
                <w:rFonts w:ascii="Times New Roman" w:hAnsi="Times New Roman" w:eastAsia="宋体"/>
                <w:sz w:val="21"/>
                <w:szCs w:val="21"/>
              </w:rPr>
              <w:t>4</w:t>
            </w:r>
          </w:p>
        </w:tc>
        <w:tc>
          <w:tcPr>
            <w:tcW w:w="1500" w:type="dxa"/>
            <w:noWrap w:val="0"/>
            <w:vAlign w:val="center"/>
          </w:tcPr>
          <w:p w14:paraId="095A37B9">
            <w:pPr>
              <w:spacing w:before="20" w:after="20" w:line="300" w:lineRule="auto"/>
              <w:jc w:val="center"/>
              <w:rPr>
                <w:rFonts w:hint="eastAsia"/>
              </w:rPr>
            </w:pPr>
            <w:r>
              <w:rPr>
                <w:rFonts w:ascii="Times New Roman" w:hAnsi="Times New Roman" w:eastAsia="宋体"/>
                <w:sz w:val="21"/>
                <w:szCs w:val="21"/>
              </w:rPr>
              <w:t>1</w:t>
            </w:r>
          </w:p>
        </w:tc>
      </w:tr>
      <w:tr w14:paraId="3157CAAD">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0" w:type="dxa"/>
            <w:noWrap w:val="0"/>
            <w:vAlign w:val="center"/>
          </w:tcPr>
          <w:p w14:paraId="7AE133F8">
            <w:pPr>
              <w:spacing w:before="20" w:after="20" w:line="300" w:lineRule="auto"/>
              <w:jc w:val="center"/>
              <w:rPr>
                <w:rFonts w:hint="eastAsia"/>
              </w:rPr>
            </w:pPr>
            <w:r>
              <w:rPr>
                <w:rFonts w:ascii="Times New Roman" w:hAnsi="Times New Roman" w:eastAsia="宋体"/>
                <w:sz w:val="21"/>
                <w:szCs w:val="21"/>
              </w:rPr>
              <w:t>4</w:t>
            </w:r>
          </w:p>
        </w:tc>
        <w:tc>
          <w:tcPr>
            <w:tcW w:w="2126" w:type="dxa"/>
            <w:noWrap w:val="0"/>
            <w:vAlign w:val="center"/>
          </w:tcPr>
          <w:p w14:paraId="494743AC">
            <w:pPr>
              <w:spacing w:before="20" w:after="20" w:line="300" w:lineRule="auto"/>
              <w:jc w:val="center"/>
              <w:rPr>
                <w:rFonts w:hint="eastAsia"/>
              </w:rPr>
            </w:pPr>
            <w:r>
              <w:rPr>
                <w:rFonts w:ascii="Times New Roman" w:hAnsi="Times New Roman" w:eastAsia="宋体"/>
                <w:sz w:val="21"/>
                <w:szCs w:val="21"/>
              </w:rPr>
              <w:t>西山区</w:t>
            </w:r>
          </w:p>
        </w:tc>
        <w:tc>
          <w:tcPr>
            <w:tcW w:w="1500" w:type="dxa"/>
            <w:noWrap w:val="0"/>
            <w:vAlign w:val="center"/>
          </w:tcPr>
          <w:p w14:paraId="7694E4C1">
            <w:pPr>
              <w:spacing w:before="20" w:after="20" w:line="300" w:lineRule="auto"/>
              <w:jc w:val="center"/>
              <w:rPr>
                <w:rFonts w:hint="eastAsia"/>
              </w:rPr>
            </w:pPr>
            <w:r>
              <w:rPr>
                <w:rFonts w:ascii="Times New Roman" w:hAnsi="Times New Roman" w:eastAsia="宋体"/>
                <w:sz w:val="21"/>
                <w:szCs w:val="21"/>
              </w:rPr>
              <w:t>9</w:t>
            </w:r>
          </w:p>
        </w:tc>
        <w:tc>
          <w:tcPr>
            <w:tcW w:w="1500" w:type="dxa"/>
            <w:noWrap w:val="0"/>
            <w:vAlign w:val="center"/>
          </w:tcPr>
          <w:p w14:paraId="40029134">
            <w:pPr>
              <w:spacing w:before="20" w:after="20" w:line="300" w:lineRule="auto"/>
              <w:jc w:val="center"/>
              <w:rPr>
                <w:rFonts w:hint="eastAsia"/>
              </w:rPr>
            </w:pPr>
            <w:r>
              <w:rPr>
                <w:rFonts w:ascii="Times New Roman" w:hAnsi="Times New Roman" w:eastAsia="宋体"/>
                <w:sz w:val="21"/>
                <w:szCs w:val="21"/>
              </w:rPr>
              <w:t>3</w:t>
            </w:r>
          </w:p>
        </w:tc>
        <w:tc>
          <w:tcPr>
            <w:tcW w:w="1500" w:type="dxa"/>
            <w:noWrap w:val="0"/>
            <w:vAlign w:val="center"/>
          </w:tcPr>
          <w:p w14:paraId="49EE5194">
            <w:pPr>
              <w:spacing w:before="20" w:after="20" w:line="300" w:lineRule="auto"/>
              <w:jc w:val="center"/>
              <w:rPr>
                <w:rFonts w:hint="eastAsia"/>
              </w:rPr>
            </w:pPr>
            <w:r>
              <w:rPr>
                <w:rFonts w:ascii="Times New Roman" w:hAnsi="Times New Roman" w:eastAsia="宋体"/>
                <w:sz w:val="21"/>
                <w:szCs w:val="21"/>
              </w:rPr>
              <w:t>5</w:t>
            </w:r>
          </w:p>
        </w:tc>
        <w:tc>
          <w:tcPr>
            <w:tcW w:w="1500" w:type="dxa"/>
            <w:noWrap w:val="0"/>
            <w:vAlign w:val="center"/>
          </w:tcPr>
          <w:p w14:paraId="189CF9AD">
            <w:pPr>
              <w:spacing w:before="20" w:after="20" w:line="300" w:lineRule="auto"/>
              <w:jc w:val="center"/>
              <w:rPr>
                <w:rFonts w:hint="eastAsia"/>
              </w:rPr>
            </w:pPr>
            <w:r>
              <w:rPr>
                <w:rFonts w:ascii="Times New Roman" w:hAnsi="Times New Roman" w:eastAsia="宋体"/>
                <w:sz w:val="21"/>
                <w:szCs w:val="21"/>
              </w:rPr>
              <w:t>1</w:t>
            </w:r>
          </w:p>
        </w:tc>
      </w:tr>
      <w:tr w14:paraId="3988A0D8">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0" w:type="dxa"/>
            <w:noWrap w:val="0"/>
            <w:vAlign w:val="center"/>
          </w:tcPr>
          <w:p w14:paraId="1B8168A8">
            <w:pPr>
              <w:spacing w:before="20" w:after="20" w:line="300" w:lineRule="auto"/>
              <w:jc w:val="center"/>
              <w:rPr>
                <w:rFonts w:hint="eastAsia"/>
              </w:rPr>
            </w:pPr>
            <w:r>
              <w:rPr>
                <w:rFonts w:ascii="Times New Roman" w:hAnsi="Times New Roman" w:eastAsia="宋体"/>
                <w:sz w:val="21"/>
                <w:szCs w:val="21"/>
              </w:rPr>
              <w:t>5</w:t>
            </w:r>
          </w:p>
        </w:tc>
        <w:tc>
          <w:tcPr>
            <w:tcW w:w="2126" w:type="dxa"/>
            <w:noWrap w:val="0"/>
            <w:vAlign w:val="center"/>
          </w:tcPr>
          <w:p w14:paraId="061FE4BE">
            <w:pPr>
              <w:spacing w:before="20" w:after="20" w:line="300" w:lineRule="auto"/>
              <w:jc w:val="center"/>
              <w:rPr>
                <w:rFonts w:hint="eastAsia"/>
              </w:rPr>
            </w:pPr>
            <w:r>
              <w:rPr>
                <w:rFonts w:ascii="Times New Roman" w:hAnsi="Times New Roman" w:eastAsia="宋体"/>
                <w:sz w:val="21"/>
                <w:szCs w:val="21"/>
              </w:rPr>
              <w:t>东川区</w:t>
            </w:r>
          </w:p>
        </w:tc>
        <w:tc>
          <w:tcPr>
            <w:tcW w:w="1500" w:type="dxa"/>
            <w:noWrap w:val="0"/>
            <w:vAlign w:val="center"/>
          </w:tcPr>
          <w:p w14:paraId="0B632CAA">
            <w:pPr>
              <w:spacing w:before="20" w:after="20" w:line="300" w:lineRule="auto"/>
              <w:jc w:val="center"/>
              <w:rPr>
                <w:rFonts w:hint="eastAsia"/>
              </w:rPr>
            </w:pPr>
            <w:r>
              <w:rPr>
                <w:rFonts w:ascii="Times New Roman" w:hAnsi="Times New Roman" w:eastAsia="宋体"/>
                <w:sz w:val="21"/>
                <w:szCs w:val="21"/>
              </w:rPr>
              <w:t>10</w:t>
            </w:r>
          </w:p>
        </w:tc>
        <w:tc>
          <w:tcPr>
            <w:tcW w:w="1500" w:type="dxa"/>
            <w:noWrap w:val="0"/>
            <w:vAlign w:val="center"/>
          </w:tcPr>
          <w:p w14:paraId="3CE8FC3C">
            <w:pPr>
              <w:spacing w:before="20" w:after="20" w:line="300" w:lineRule="auto"/>
              <w:jc w:val="center"/>
              <w:rPr>
                <w:rFonts w:hint="eastAsia"/>
              </w:rPr>
            </w:pPr>
            <w:r>
              <w:rPr>
                <w:rFonts w:ascii="Times New Roman" w:hAnsi="Times New Roman" w:eastAsia="宋体"/>
                <w:sz w:val="21"/>
                <w:szCs w:val="21"/>
              </w:rPr>
              <w:t>3</w:t>
            </w:r>
          </w:p>
        </w:tc>
        <w:tc>
          <w:tcPr>
            <w:tcW w:w="1500" w:type="dxa"/>
            <w:noWrap w:val="0"/>
            <w:vAlign w:val="center"/>
          </w:tcPr>
          <w:p w14:paraId="2B402415">
            <w:pPr>
              <w:spacing w:before="20" w:after="20" w:line="300" w:lineRule="auto"/>
              <w:jc w:val="center"/>
              <w:rPr>
                <w:rFonts w:hint="eastAsia"/>
              </w:rPr>
            </w:pPr>
            <w:r>
              <w:rPr>
                <w:rFonts w:ascii="Times New Roman" w:hAnsi="Times New Roman" w:eastAsia="宋体"/>
                <w:sz w:val="21"/>
                <w:szCs w:val="21"/>
              </w:rPr>
              <w:t>6</w:t>
            </w:r>
          </w:p>
        </w:tc>
        <w:tc>
          <w:tcPr>
            <w:tcW w:w="1500" w:type="dxa"/>
            <w:noWrap w:val="0"/>
            <w:vAlign w:val="center"/>
          </w:tcPr>
          <w:p w14:paraId="5B2A1906">
            <w:pPr>
              <w:spacing w:before="20" w:after="20" w:line="300" w:lineRule="auto"/>
              <w:jc w:val="center"/>
              <w:rPr>
                <w:rFonts w:hint="eastAsia"/>
              </w:rPr>
            </w:pPr>
            <w:r>
              <w:rPr>
                <w:rFonts w:ascii="Times New Roman" w:hAnsi="Times New Roman" w:eastAsia="宋体"/>
                <w:sz w:val="21"/>
                <w:szCs w:val="21"/>
              </w:rPr>
              <w:t>1</w:t>
            </w:r>
          </w:p>
        </w:tc>
      </w:tr>
      <w:tr w14:paraId="2DD08D24">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0" w:type="dxa"/>
            <w:noWrap w:val="0"/>
            <w:vAlign w:val="center"/>
          </w:tcPr>
          <w:p w14:paraId="723DFD39">
            <w:pPr>
              <w:spacing w:before="20" w:after="20" w:line="300" w:lineRule="auto"/>
              <w:jc w:val="center"/>
              <w:rPr>
                <w:rFonts w:hint="eastAsia"/>
              </w:rPr>
            </w:pPr>
            <w:r>
              <w:rPr>
                <w:rFonts w:ascii="Times New Roman" w:hAnsi="Times New Roman" w:eastAsia="宋体"/>
                <w:sz w:val="21"/>
                <w:szCs w:val="21"/>
              </w:rPr>
              <w:t>6</w:t>
            </w:r>
          </w:p>
        </w:tc>
        <w:tc>
          <w:tcPr>
            <w:tcW w:w="2126" w:type="dxa"/>
            <w:noWrap w:val="0"/>
            <w:vAlign w:val="center"/>
          </w:tcPr>
          <w:p w14:paraId="36B86177">
            <w:pPr>
              <w:spacing w:before="20" w:after="20" w:line="300" w:lineRule="auto"/>
              <w:jc w:val="center"/>
              <w:rPr>
                <w:rFonts w:hint="eastAsia"/>
              </w:rPr>
            </w:pPr>
            <w:r>
              <w:rPr>
                <w:rFonts w:ascii="Times New Roman" w:hAnsi="Times New Roman" w:eastAsia="宋体"/>
                <w:sz w:val="21"/>
                <w:szCs w:val="21"/>
              </w:rPr>
              <w:t>呈贡区</w:t>
            </w:r>
          </w:p>
        </w:tc>
        <w:tc>
          <w:tcPr>
            <w:tcW w:w="1500" w:type="dxa"/>
            <w:noWrap w:val="0"/>
            <w:vAlign w:val="center"/>
          </w:tcPr>
          <w:p w14:paraId="77124962">
            <w:pPr>
              <w:spacing w:before="20" w:after="20" w:line="300" w:lineRule="auto"/>
              <w:jc w:val="center"/>
              <w:rPr>
                <w:rFonts w:hint="eastAsia"/>
              </w:rPr>
            </w:pPr>
            <w:r>
              <w:rPr>
                <w:rFonts w:ascii="Times New Roman" w:hAnsi="Times New Roman" w:eastAsia="宋体"/>
                <w:sz w:val="21"/>
                <w:szCs w:val="21"/>
              </w:rPr>
              <w:t>11</w:t>
            </w:r>
          </w:p>
        </w:tc>
        <w:tc>
          <w:tcPr>
            <w:tcW w:w="1500" w:type="dxa"/>
            <w:noWrap w:val="0"/>
            <w:vAlign w:val="center"/>
          </w:tcPr>
          <w:p w14:paraId="3EDD3C0C">
            <w:pPr>
              <w:spacing w:before="20" w:after="20" w:line="300" w:lineRule="auto"/>
              <w:jc w:val="center"/>
              <w:rPr>
                <w:rFonts w:hint="eastAsia"/>
              </w:rPr>
            </w:pPr>
            <w:r>
              <w:rPr>
                <w:rFonts w:ascii="Times New Roman" w:hAnsi="Times New Roman" w:eastAsia="宋体"/>
                <w:sz w:val="21"/>
                <w:szCs w:val="21"/>
              </w:rPr>
              <w:t>3</w:t>
            </w:r>
          </w:p>
        </w:tc>
        <w:tc>
          <w:tcPr>
            <w:tcW w:w="1500" w:type="dxa"/>
            <w:noWrap w:val="0"/>
            <w:vAlign w:val="center"/>
          </w:tcPr>
          <w:p w14:paraId="5D7D3955">
            <w:pPr>
              <w:spacing w:before="20" w:after="20" w:line="300" w:lineRule="auto"/>
              <w:jc w:val="center"/>
              <w:rPr>
                <w:rFonts w:hint="eastAsia"/>
              </w:rPr>
            </w:pPr>
            <w:r>
              <w:rPr>
                <w:rFonts w:ascii="Times New Roman" w:hAnsi="Times New Roman" w:eastAsia="宋体"/>
                <w:sz w:val="21"/>
                <w:szCs w:val="21"/>
              </w:rPr>
              <w:t>7</w:t>
            </w:r>
          </w:p>
        </w:tc>
        <w:tc>
          <w:tcPr>
            <w:tcW w:w="1500" w:type="dxa"/>
            <w:noWrap w:val="0"/>
            <w:vAlign w:val="center"/>
          </w:tcPr>
          <w:p w14:paraId="3D109452">
            <w:pPr>
              <w:spacing w:before="20" w:after="20" w:line="300" w:lineRule="auto"/>
              <w:jc w:val="center"/>
              <w:rPr>
                <w:rFonts w:hint="eastAsia"/>
              </w:rPr>
            </w:pPr>
            <w:r>
              <w:rPr>
                <w:rFonts w:ascii="Times New Roman" w:hAnsi="Times New Roman" w:eastAsia="宋体"/>
                <w:sz w:val="21"/>
                <w:szCs w:val="21"/>
              </w:rPr>
              <w:t>1</w:t>
            </w:r>
          </w:p>
        </w:tc>
      </w:tr>
      <w:tr w14:paraId="7618C46A">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0" w:type="dxa"/>
            <w:noWrap w:val="0"/>
            <w:vAlign w:val="center"/>
          </w:tcPr>
          <w:p w14:paraId="421E01B2">
            <w:pPr>
              <w:spacing w:before="20" w:after="20" w:line="300" w:lineRule="auto"/>
              <w:jc w:val="center"/>
              <w:rPr>
                <w:rFonts w:hint="eastAsia"/>
              </w:rPr>
            </w:pPr>
            <w:r>
              <w:rPr>
                <w:rFonts w:ascii="Times New Roman" w:hAnsi="Times New Roman" w:eastAsia="宋体"/>
                <w:sz w:val="21"/>
                <w:szCs w:val="21"/>
              </w:rPr>
              <w:t>7</w:t>
            </w:r>
          </w:p>
        </w:tc>
        <w:tc>
          <w:tcPr>
            <w:tcW w:w="2126" w:type="dxa"/>
            <w:noWrap w:val="0"/>
            <w:vAlign w:val="center"/>
          </w:tcPr>
          <w:p w14:paraId="487D3FAB">
            <w:pPr>
              <w:spacing w:before="20" w:after="20" w:line="300" w:lineRule="auto"/>
              <w:jc w:val="center"/>
              <w:rPr>
                <w:rFonts w:hint="eastAsia"/>
              </w:rPr>
            </w:pPr>
            <w:r>
              <w:rPr>
                <w:rFonts w:ascii="Times New Roman" w:hAnsi="Times New Roman" w:eastAsia="宋体"/>
                <w:sz w:val="21"/>
                <w:szCs w:val="21"/>
              </w:rPr>
              <w:t>晋宁区</w:t>
            </w:r>
          </w:p>
        </w:tc>
        <w:tc>
          <w:tcPr>
            <w:tcW w:w="1500" w:type="dxa"/>
            <w:noWrap w:val="0"/>
            <w:vAlign w:val="center"/>
          </w:tcPr>
          <w:p w14:paraId="7F883A3A">
            <w:pPr>
              <w:spacing w:before="20" w:after="20" w:line="300" w:lineRule="auto"/>
              <w:jc w:val="center"/>
              <w:rPr>
                <w:rFonts w:hint="eastAsia"/>
              </w:rPr>
            </w:pPr>
            <w:r>
              <w:rPr>
                <w:rFonts w:ascii="Times New Roman" w:hAnsi="Times New Roman" w:eastAsia="宋体"/>
                <w:sz w:val="21"/>
                <w:szCs w:val="21"/>
              </w:rPr>
              <w:t>9</w:t>
            </w:r>
          </w:p>
        </w:tc>
        <w:tc>
          <w:tcPr>
            <w:tcW w:w="1500" w:type="dxa"/>
            <w:noWrap w:val="0"/>
            <w:vAlign w:val="center"/>
          </w:tcPr>
          <w:p w14:paraId="01B5D532">
            <w:pPr>
              <w:spacing w:before="20" w:after="20" w:line="300" w:lineRule="auto"/>
              <w:jc w:val="center"/>
              <w:rPr>
                <w:rFonts w:hint="eastAsia"/>
              </w:rPr>
            </w:pPr>
            <w:r>
              <w:rPr>
                <w:rFonts w:ascii="Times New Roman" w:hAnsi="Times New Roman" w:eastAsia="宋体"/>
                <w:sz w:val="21"/>
                <w:szCs w:val="21"/>
              </w:rPr>
              <w:t>3</w:t>
            </w:r>
          </w:p>
        </w:tc>
        <w:tc>
          <w:tcPr>
            <w:tcW w:w="1500" w:type="dxa"/>
            <w:noWrap w:val="0"/>
            <w:vAlign w:val="center"/>
          </w:tcPr>
          <w:p w14:paraId="62FB960B">
            <w:pPr>
              <w:spacing w:before="20" w:after="20" w:line="300" w:lineRule="auto"/>
              <w:jc w:val="center"/>
              <w:rPr>
                <w:rFonts w:hint="eastAsia"/>
              </w:rPr>
            </w:pPr>
            <w:r>
              <w:rPr>
                <w:rFonts w:ascii="Times New Roman" w:hAnsi="Times New Roman" w:eastAsia="宋体"/>
                <w:sz w:val="21"/>
                <w:szCs w:val="21"/>
              </w:rPr>
              <w:t>5</w:t>
            </w:r>
          </w:p>
        </w:tc>
        <w:tc>
          <w:tcPr>
            <w:tcW w:w="1500" w:type="dxa"/>
            <w:noWrap w:val="0"/>
            <w:vAlign w:val="center"/>
          </w:tcPr>
          <w:p w14:paraId="70DF35B3">
            <w:pPr>
              <w:spacing w:before="20" w:after="20" w:line="300" w:lineRule="auto"/>
              <w:jc w:val="center"/>
              <w:rPr>
                <w:rFonts w:hint="eastAsia"/>
              </w:rPr>
            </w:pPr>
            <w:r>
              <w:rPr>
                <w:rFonts w:ascii="Times New Roman" w:hAnsi="Times New Roman" w:eastAsia="宋体"/>
                <w:sz w:val="21"/>
                <w:szCs w:val="21"/>
              </w:rPr>
              <w:t>1</w:t>
            </w:r>
          </w:p>
        </w:tc>
      </w:tr>
      <w:tr w14:paraId="49D42148">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0" w:type="dxa"/>
            <w:noWrap w:val="0"/>
            <w:vAlign w:val="center"/>
          </w:tcPr>
          <w:p w14:paraId="451FA571">
            <w:pPr>
              <w:spacing w:before="20" w:after="20" w:line="300" w:lineRule="auto"/>
              <w:jc w:val="center"/>
              <w:rPr>
                <w:rFonts w:hint="eastAsia"/>
              </w:rPr>
            </w:pPr>
            <w:r>
              <w:rPr>
                <w:rFonts w:ascii="Times New Roman" w:hAnsi="Times New Roman" w:eastAsia="宋体"/>
                <w:sz w:val="21"/>
                <w:szCs w:val="21"/>
              </w:rPr>
              <w:t>8</w:t>
            </w:r>
          </w:p>
        </w:tc>
        <w:tc>
          <w:tcPr>
            <w:tcW w:w="2126" w:type="dxa"/>
            <w:noWrap w:val="0"/>
            <w:vAlign w:val="center"/>
          </w:tcPr>
          <w:p w14:paraId="53938FC5">
            <w:pPr>
              <w:spacing w:before="20" w:after="20" w:line="300" w:lineRule="auto"/>
              <w:jc w:val="center"/>
              <w:rPr>
                <w:rFonts w:hint="eastAsia"/>
              </w:rPr>
            </w:pPr>
            <w:r>
              <w:rPr>
                <w:rFonts w:ascii="Times New Roman" w:hAnsi="Times New Roman" w:eastAsia="宋体"/>
                <w:sz w:val="21"/>
                <w:szCs w:val="21"/>
              </w:rPr>
              <w:t>富民县</w:t>
            </w:r>
          </w:p>
        </w:tc>
        <w:tc>
          <w:tcPr>
            <w:tcW w:w="1500" w:type="dxa"/>
            <w:noWrap w:val="0"/>
            <w:vAlign w:val="center"/>
          </w:tcPr>
          <w:p w14:paraId="6FA21025">
            <w:pPr>
              <w:spacing w:before="20" w:after="20" w:line="300" w:lineRule="auto"/>
              <w:jc w:val="center"/>
              <w:rPr>
                <w:rFonts w:hint="eastAsia"/>
              </w:rPr>
            </w:pPr>
            <w:r>
              <w:rPr>
                <w:rFonts w:ascii="Times New Roman" w:hAnsi="Times New Roman" w:eastAsia="宋体"/>
                <w:sz w:val="21"/>
                <w:szCs w:val="21"/>
              </w:rPr>
              <w:t>10</w:t>
            </w:r>
          </w:p>
        </w:tc>
        <w:tc>
          <w:tcPr>
            <w:tcW w:w="1500" w:type="dxa"/>
            <w:noWrap w:val="0"/>
            <w:vAlign w:val="center"/>
          </w:tcPr>
          <w:p w14:paraId="1BED39B9">
            <w:pPr>
              <w:spacing w:before="20" w:after="20" w:line="300" w:lineRule="auto"/>
              <w:jc w:val="center"/>
              <w:rPr>
                <w:rFonts w:hint="eastAsia"/>
              </w:rPr>
            </w:pPr>
            <w:r>
              <w:rPr>
                <w:rFonts w:ascii="Times New Roman" w:hAnsi="Times New Roman" w:eastAsia="宋体"/>
                <w:sz w:val="21"/>
                <w:szCs w:val="21"/>
              </w:rPr>
              <w:t>3</w:t>
            </w:r>
          </w:p>
        </w:tc>
        <w:tc>
          <w:tcPr>
            <w:tcW w:w="1500" w:type="dxa"/>
            <w:noWrap w:val="0"/>
            <w:vAlign w:val="center"/>
          </w:tcPr>
          <w:p w14:paraId="23415C0D">
            <w:pPr>
              <w:spacing w:before="20" w:after="20" w:line="300" w:lineRule="auto"/>
              <w:jc w:val="center"/>
              <w:rPr>
                <w:rFonts w:hint="eastAsia"/>
              </w:rPr>
            </w:pPr>
            <w:r>
              <w:rPr>
                <w:rFonts w:ascii="Times New Roman" w:hAnsi="Times New Roman" w:eastAsia="宋体"/>
                <w:sz w:val="21"/>
                <w:szCs w:val="21"/>
              </w:rPr>
              <w:t>6</w:t>
            </w:r>
          </w:p>
        </w:tc>
        <w:tc>
          <w:tcPr>
            <w:tcW w:w="1500" w:type="dxa"/>
            <w:noWrap w:val="0"/>
            <w:vAlign w:val="center"/>
          </w:tcPr>
          <w:p w14:paraId="3E8F6D3F">
            <w:pPr>
              <w:spacing w:before="20" w:after="20" w:line="300" w:lineRule="auto"/>
              <w:jc w:val="center"/>
              <w:rPr>
                <w:rFonts w:hint="eastAsia"/>
              </w:rPr>
            </w:pPr>
            <w:r>
              <w:rPr>
                <w:rFonts w:ascii="Times New Roman" w:hAnsi="Times New Roman" w:eastAsia="宋体"/>
                <w:sz w:val="21"/>
                <w:szCs w:val="21"/>
              </w:rPr>
              <w:t>1</w:t>
            </w:r>
          </w:p>
        </w:tc>
      </w:tr>
      <w:tr w14:paraId="0D1FC0BE">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0" w:type="dxa"/>
            <w:noWrap w:val="0"/>
            <w:vAlign w:val="center"/>
          </w:tcPr>
          <w:p w14:paraId="3341DC78">
            <w:pPr>
              <w:spacing w:before="20" w:after="20" w:line="300" w:lineRule="auto"/>
              <w:jc w:val="center"/>
              <w:rPr>
                <w:rFonts w:hint="eastAsia"/>
              </w:rPr>
            </w:pPr>
            <w:r>
              <w:rPr>
                <w:rFonts w:ascii="Times New Roman" w:hAnsi="Times New Roman" w:eastAsia="宋体"/>
                <w:sz w:val="21"/>
                <w:szCs w:val="21"/>
              </w:rPr>
              <w:t>9</w:t>
            </w:r>
          </w:p>
        </w:tc>
        <w:tc>
          <w:tcPr>
            <w:tcW w:w="2126" w:type="dxa"/>
            <w:noWrap w:val="0"/>
            <w:vAlign w:val="center"/>
          </w:tcPr>
          <w:p w14:paraId="5838B19F">
            <w:pPr>
              <w:spacing w:before="20" w:after="20" w:line="300" w:lineRule="auto"/>
              <w:jc w:val="center"/>
              <w:rPr>
                <w:rFonts w:hint="eastAsia"/>
              </w:rPr>
            </w:pPr>
            <w:r>
              <w:rPr>
                <w:rFonts w:ascii="Times New Roman" w:hAnsi="Times New Roman" w:eastAsia="宋体"/>
                <w:sz w:val="21"/>
                <w:szCs w:val="21"/>
              </w:rPr>
              <w:t>宜良县</w:t>
            </w:r>
          </w:p>
        </w:tc>
        <w:tc>
          <w:tcPr>
            <w:tcW w:w="1500" w:type="dxa"/>
            <w:noWrap w:val="0"/>
            <w:vAlign w:val="center"/>
          </w:tcPr>
          <w:p w14:paraId="5D3844F5">
            <w:pPr>
              <w:spacing w:before="20" w:after="20" w:line="300" w:lineRule="auto"/>
              <w:jc w:val="center"/>
              <w:rPr>
                <w:rFonts w:hint="eastAsia"/>
              </w:rPr>
            </w:pPr>
            <w:r>
              <w:rPr>
                <w:rFonts w:ascii="Times New Roman" w:hAnsi="Times New Roman" w:eastAsia="宋体"/>
                <w:sz w:val="21"/>
                <w:szCs w:val="21"/>
              </w:rPr>
              <w:t>12</w:t>
            </w:r>
          </w:p>
        </w:tc>
        <w:tc>
          <w:tcPr>
            <w:tcW w:w="1500" w:type="dxa"/>
            <w:noWrap w:val="0"/>
            <w:vAlign w:val="center"/>
          </w:tcPr>
          <w:p w14:paraId="482C10BB">
            <w:pPr>
              <w:spacing w:before="20" w:after="20" w:line="300" w:lineRule="auto"/>
              <w:jc w:val="center"/>
              <w:rPr>
                <w:rFonts w:hint="eastAsia"/>
              </w:rPr>
            </w:pPr>
            <w:r>
              <w:rPr>
                <w:rFonts w:ascii="Times New Roman" w:hAnsi="Times New Roman" w:eastAsia="宋体"/>
                <w:sz w:val="21"/>
                <w:szCs w:val="21"/>
              </w:rPr>
              <w:t>3</w:t>
            </w:r>
          </w:p>
        </w:tc>
        <w:tc>
          <w:tcPr>
            <w:tcW w:w="1500" w:type="dxa"/>
            <w:noWrap w:val="0"/>
            <w:vAlign w:val="center"/>
          </w:tcPr>
          <w:p w14:paraId="2251CBCD">
            <w:pPr>
              <w:spacing w:before="20" w:after="20" w:line="300" w:lineRule="auto"/>
              <w:jc w:val="center"/>
              <w:rPr>
                <w:rFonts w:hint="eastAsia"/>
              </w:rPr>
            </w:pPr>
            <w:r>
              <w:rPr>
                <w:rFonts w:ascii="Times New Roman" w:hAnsi="Times New Roman" w:eastAsia="宋体"/>
                <w:sz w:val="21"/>
                <w:szCs w:val="21"/>
              </w:rPr>
              <w:t>8</w:t>
            </w:r>
          </w:p>
        </w:tc>
        <w:tc>
          <w:tcPr>
            <w:tcW w:w="1500" w:type="dxa"/>
            <w:noWrap w:val="0"/>
            <w:vAlign w:val="center"/>
          </w:tcPr>
          <w:p w14:paraId="47EA3C42">
            <w:pPr>
              <w:spacing w:before="20" w:after="20" w:line="300" w:lineRule="auto"/>
              <w:jc w:val="center"/>
              <w:rPr>
                <w:rFonts w:hint="eastAsia"/>
              </w:rPr>
            </w:pPr>
            <w:r>
              <w:rPr>
                <w:rFonts w:ascii="Times New Roman" w:hAnsi="Times New Roman" w:eastAsia="宋体"/>
                <w:sz w:val="21"/>
                <w:szCs w:val="21"/>
              </w:rPr>
              <w:t>1</w:t>
            </w:r>
          </w:p>
        </w:tc>
      </w:tr>
      <w:tr w14:paraId="055991E5">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0" w:type="dxa"/>
            <w:noWrap w:val="0"/>
            <w:vAlign w:val="center"/>
          </w:tcPr>
          <w:p w14:paraId="60DC64B4">
            <w:pPr>
              <w:spacing w:before="20" w:after="20" w:line="300" w:lineRule="auto"/>
              <w:jc w:val="center"/>
              <w:rPr>
                <w:rFonts w:hint="eastAsia"/>
              </w:rPr>
            </w:pPr>
            <w:r>
              <w:rPr>
                <w:rFonts w:ascii="Times New Roman" w:hAnsi="Times New Roman" w:eastAsia="宋体"/>
                <w:sz w:val="21"/>
                <w:szCs w:val="21"/>
              </w:rPr>
              <w:t>10</w:t>
            </w:r>
          </w:p>
        </w:tc>
        <w:tc>
          <w:tcPr>
            <w:tcW w:w="2126" w:type="dxa"/>
            <w:noWrap w:val="0"/>
            <w:vAlign w:val="center"/>
          </w:tcPr>
          <w:p w14:paraId="56701884">
            <w:pPr>
              <w:spacing w:before="20" w:after="20" w:line="300" w:lineRule="auto"/>
              <w:jc w:val="center"/>
              <w:rPr>
                <w:rFonts w:hint="eastAsia"/>
              </w:rPr>
            </w:pPr>
            <w:r>
              <w:rPr>
                <w:rFonts w:ascii="Times New Roman" w:hAnsi="Times New Roman" w:eastAsia="宋体"/>
                <w:sz w:val="21"/>
                <w:szCs w:val="21"/>
              </w:rPr>
              <w:t>石林县</w:t>
            </w:r>
          </w:p>
        </w:tc>
        <w:tc>
          <w:tcPr>
            <w:tcW w:w="1500" w:type="dxa"/>
            <w:noWrap w:val="0"/>
            <w:vAlign w:val="center"/>
          </w:tcPr>
          <w:p w14:paraId="5634884E">
            <w:pPr>
              <w:spacing w:before="20" w:after="20" w:line="300" w:lineRule="auto"/>
              <w:jc w:val="center"/>
              <w:rPr>
                <w:rFonts w:hint="eastAsia"/>
              </w:rPr>
            </w:pPr>
            <w:r>
              <w:rPr>
                <w:rFonts w:ascii="Times New Roman" w:hAnsi="Times New Roman" w:eastAsia="宋体"/>
                <w:sz w:val="21"/>
                <w:szCs w:val="21"/>
              </w:rPr>
              <w:t>10</w:t>
            </w:r>
          </w:p>
        </w:tc>
        <w:tc>
          <w:tcPr>
            <w:tcW w:w="1500" w:type="dxa"/>
            <w:noWrap w:val="0"/>
            <w:vAlign w:val="center"/>
          </w:tcPr>
          <w:p w14:paraId="2C1C6FFC">
            <w:pPr>
              <w:spacing w:before="20" w:after="20" w:line="300" w:lineRule="auto"/>
              <w:jc w:val="center"/>
              <w:rPr>
                <w:rFonts w:hint="eastAsia"/>
              </w:rPr>
            </w:pPr>
            <w:r>
              <w:rPr>
                <w:rFonts w:ascii="Times New Roman" w:hAnsi="Times New Roman" w:eastAsia="宋体"/>
                <w:sz w:val="21"/>
                <w:szCs w:val="21"/>
              </w:rPr>
              <w:t>3</w:t>
            </w:r>
          </w:p>
        </w:tc>
        <w:tc>
          <w:tcPr>
            <w:tcW w:w="1500" w:type="dxa"/>
            <w:noWrap w:val="0"/>
            <w:vAlign w:val="center"/>
          </w:tcPr>
          <w:p w14:paraId="174A99A5">
            <w:pPr>
              <w:spacing w:before="20" w:after="20" w:line="300" w:lineRule="auto"/>
              <w:jc w:val="center"/>
              <w:rPr>
                <w:rFonts w:hint="eastAsia"/>
              </w:rPr>
            </w:pPr>
            <w:r>
              <w:rPr>
                <w:rFonts w:ascii="Times New Roman" w:hAnsi="Times New Roman" w:eastAsia="宋体"/>
                <w:sz w:val="21"/>
                <w:szCs w:val="21"/>
              </w:rPr>
              <w:t>6</w:t>
            </w:r>
          </w:p>
        </w:tc>
        <w:tc>
          <w:tcPr>
            <w:tcW w:w="1500" w:type="dxa"/>
            <w:noWrap w:val="0"/>
            <w:vAlign w:val="center"/>
          </w:tcPr>
          <w:p w14:paraId="063671E4">
            <w:pPr>
              <w:spacing w:before="20" w:after="20" w:line="300" w:lineRule="auto"/>
              <w:jc w:val="center"/>
              <w:rPr>
                <w:rFonts w:hint="eastAsia"/>
              </w:rPr>
            </w:pPr>
            <w:r>
              <w:rPr>
                <w:rFonts w:ascii="Times New Roman" w:hAnsi="Times New Roman" w:eastAsia="宋体"/>
                <w:sz w:val="21"/>
                <w:szCs w:val="21"/>
              </w:rPr>
              <w:t>1</w:t>
            </w:r>
          </w:p>
        </w:tc>
      </w:tr>
      <w:tr w14:paraId="79B0CD2F">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0" w:type="dxa"/>
            <w:noWrap w:val="0"/>
            <w:vAlign w:val="center"/>
          </w:tcPr>
          <w:p w14:paraId="3E497D6E">
            <w:pPr>
              <w:spacing w:before="20" w:after="20" w:line="300" w:lineRule="auto"/>
              <w:jc w:val="center"/>
              <w:rPr>
                <w:rFonts w:hint="eastAsia"/>
              </w:rPr>
            </w:pPr>
            <w:r>
              <w:rPr>
                <w:rFonts w:ascii="Times New Roman" w:hAnsi="Times New Roman" w:eastAsia="宋体"/>
                <w:sz w:val="21"/>
                <w:szCs w:val="21"/>
              </w:rPr>
              <w:t>11</w:t>
            </w:r>
          </w:p>
        </w:tc>
        <w:tc>
          <w:tcPr>
            <w:tcW w:w="2126" w:type="dxa"/>
            <w:noWrap w:val="0"/>
            <w:vAlign w:val="center"/>
          </w:tcPr>
          <w:p w14:paraId="438A3B37">
            <w:pPr>
              <w:spacing w:before="20" w:after="20" w:line="300" w:lineRule="auto"/>
              <w:jc w:val="center"/>
              <w:rPr>
                <w:rFonts w:hint="eastAsia"/>
              </w:rPr>
            </w:pPr>
            <w:r>
              <w:rPr>
                <w:rFonts w:ascii="Times New Roman" w:hAnsi="Times New Roman" w:eastAsia="宋体"/>
                <w:sz w:val="21"/>
                <w:szCs w:val="21"/>
              </w:rPr>
              <w:t>嵩明县</w:t>
            </w:r>
          </w:p>
        </w:tc>
        <w:tc>
          <w:tcPr>
            <w:tcW w:w="1500" w:type="dxa"/>
            <w:noWrap w:val="0"/>
            <w:vAlign w:val="center"/>
          </w:tcPr>
          <w:p w14:paraId="66DB6254">
            <w:pPr>
              <w:spacing w:before="20" w:after="20" w:line="300" w:lineRule="auto"/>
              <w:jc w:val="center"/>
              <w:rPr>
                <w:rFonts w:hint="eastAsia"/>
              </w:rPr>
            </w:pPr>
            <w:r>
              <w:rPr>
                <w:rFonts w:ascii="Times New Roman" w:hAnsi="Times New Roman" w:eastAsia="宋体"/>
                <w:sz w:val="21"/>
                <w:szCs w:val="21"/>
              </w:rPr>
              <w:t>9</w:t>
            </w:r>
          </w:p>
        </w:tc>
        <w:tc>
          <w:tcPr>
            <w:tcW w:w="1500" w:type="dxa"/>
            <w:noWrap w:val="0"/>
            <w:vAlign w:val="center"/>
          </w:tcPr>
          <w:p w14:paraId="4AE74082">
            <w:pPr>
              <w:spacing w:before="20" w:after="20" w:line="300" w:lineRule="auto"/>
              <w:jc w:val="center"/>
              <w:rPr>
                <w:rFonts w:hint="eastAsia"/>
              </w:rPr>
            </w:pPr>
            <w:r>
              <w:rPr>
                <w:rFonts w:ascii="Times New Roman" w:hAnsi="Times New Roman" w:eastAsia="宋体"/>
                <w:sz w:val="21"/>
                <w:szCs w:val="21"/>
              </w:rPr>
              <w:t>3</w:t>
            </w:r>
          </w:p>
        </w:tc>
        <w:tc>
          <w:tcPr>
            <w:tcW w:w="1500" w:type="dxa"/>
            <w:noWrap w:val="0"/>
            <w:vAlign w:val="center"/>
          </w:tcPr>
          <w:p w14:paraId="2C4850C9">
            <w:pPr>
              <w:spacing w:before="20" w:after="20" w:line="300" w:lineRule="auto"/>
              <w:jc w:val="center"/>
              <w:rPr>
                <w:rFonts w:hint="eastAsia"/>
              </w:rPr>
            </w:pPr>
            <w:r>
              <w:rPr>
                <w:rFonts w:ascii="Times New Roman" w:hAnsi="Times New Roman" w:eastAsia="宋体"/>
                <w:sz w:val="21"/>
                <w:szCs w:val="21"/>
              </w:rPr>
              <w:t>5</w:t>
            </w:r>
          </w:p>
        </w:tc>
        <w:tc>
          <w:tcPr>
            <w:tcW w:w="1500" w:type="dxa"/>
            <w:noWrap w:val="0"/>
            <w:vAlign w:val="center"/>
          </w:tcPr>
          <w:p w14:paraId="5B46143E">
            <w:pPr>
              <w:spacing w:before="20" w:after="20" w:line="300" w:lineRule="auto"/>
              <w:jc w:val="center"/>
              <w:rPr>
                <w:rFonts w:hint="eastAsia"/>
              </w:rPr>
            </w:pPr>
            <w:r>
              <w:rPr>
                <w:rFonts w:ascii="Times New Roman" w:hAnsi="Times New Roman" w:eastAsia="宋体"/>
                <w:sz w:val="21"/>
                <w:szCs w:val="21"/>
              </w:rPr>
              <w:t>1</w:t>
            </w:r>
          </w:p>
        </w:tc>
      </w:tr>
      <w:tr w14:paraId="2582A798">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0" w:type="dxa"/>
            <w:noWrap w:val="0"/>
            <w:vAlign w:val="center"/>
          </w:tcPr>
          <w:p w14:paraId="7D0880B4">
            <w:pPr>
              <w:spacing w:before="20" w:after="20" w:line="300" w:lineRule="auto"/>
              <w:jc w:val="center"/>
              <w:rPr>
                <w:rFonts w:hint="eastAsia"/>
              </w:rPr>
            </w:pPr>
            <w:r>
              <w:rPr>
                <w:rFonts w:ascii="Times New Roman" w:hAnsi="Times New Roman" w:eastAsia="宋体"/>
                <w:sz w:val="21"/>
                <w:szCs w:val="21"/>
              </w:rPr>
              <w:t>12</w:t>
            </w:r>
          </w:p>
        </w:tc>
        <w:tc>
          <w:tcPr>
            <w:tcW w:w="2126" w:type="dxa"/>
            <w:noWrap w:val="0"/>
            <w:vAlign w:val="center"/>
          </w:tcPr>
          <w:p w14:paraId="333F0460">
            <w:pPr>
              <w:spacing w:before="20" w:after="20" w:line="300" w:lineRule="auto"/>
              <w:jc w:val="center"/>
              <w:rPr>
                <w:rFonts w:hint="eastAsia"/>
              </w:rPr>
            </w:pPr>
            <w:r>
              <w:rPr>
                <w:rFonts w:ascii="Times New Roman" w:hAnsi="Times New Roman" w:eastAsia="宋体"/>
                <w:sz w:val="21"/>
                <w:szCs w:val="21"/>
              </w:rPr>
              <w:t>禄劝县</w:t>
            </w:r>
          </w:p>
        </w:tc>
        <w:tc>
          <w:tcPr>
            <w:tcW w:w="1500" w:type="dxa"/>
            <w:noWrap w:val="0"/>
            <w:vAlign w:val="center"/>
          </w:tcPr>
          <w:p w14:paraId="5EC5407A">
            <w:pPr>
              <w:spacing w:before="20" w:after="20" w:line="300" w:lineRule="auto"/>
              <w:jc w:val="center"/>
              <w:rPr>
                <w:rFonts w:hint="eastAsia"/>
              </w:rPr>
            </w:pPr>
            <w:r>
              <w:rPr>
                <w:rFonts w:ascii="Times New Roman" w:hAnsi="Times New Roman" w:eastAsia="宋体"/>
                <w:sz w:val="21"/>
                <w:szCs w:val="21"/>
              </w:rPr>
              <w:t>9</w:t>
            </w:r>
          </w:p>
        </w:tc>
        <w:tc>
          <w:tcPr>
            <w:tcW w:w="1500" w:type="dxa"/>
            <w:noWrap w:val="0"/>
            <w:vAlign w:val="center"/>
          </w:tcPr>
          <w:p w14:paraId="61EC563F">
            <w:pPr>
              <w:spacing w:before="20" w:after="20" w:line="300" w:lineRule="auto"/>
              <w:jc w:val="center"/>
              <w:rPr>
                <w:rFonts w:hint="eastAsia"/>
              </w:rPr>
            </w:pPr>
            <w:r>
              <w:rPr>
                <w:rFonts w:ascii="Times New Roman" w:hAnsi="Times New Roman" w:eastAsia="宋体"/>
                <w:sz w:val="21"/>
                <w:szCs w:val="21"/>
              </w:rPr>
              <w:t>3</w:t>
            </w:r>
          </w:p>
        </w:tc>
        <w:tc>
          <w:tcPr>
            <w:tcW w:w="1500" w:type="dxa"/>
            <w:noWrap w:val="0"/>
            <w:vAlign w:val="center"/>
          </w:tcPr>
          <w:p w14:paraId="75E28BEC">
            <w:pPr>
              <w:spacing w:before="20" w:after="20" w:line="300" w:lineRule="auto"/>
              <w:jc w:val="center"/>
              <w:rPr>
                <w:rFonts w:hint="eastAsia"/>
              </w:rPr>
            </w:pPr>
            <w:r>
              <w:rPr>
                <w:rFonts w:ascii="Times New Roman" w:hAnsi="Times New Roman" w:eastAsia="宋体"/>
                <w:sz w:val="21"/>
                <w:szCs w:val="21"/>
              </w:rPr>
              <w:t>5</w:t>
            </w:r>
          </w:p>
        </w:tc>
        <w:tc>
          <w:tcPr>
            <w:tcW w:w="1500" w:type="dxa"/>
            <w:noWrap w:val="0"/>
            <w:vAlign w:val="center"/>
          </w:tcPr>
          <w:p w14:paraId="1EDD0715">
            <w:pPr>
              <w:spacing w:before="20" w:after="20" w:line="300" w:lineRule="auto"/>
              <w:jc w:val="center"/>
              <w:rPr>
                <w:rFonts w:hint="eastAsia"/>
              </w:rPr>
            </w:pPr>
            <w:r>
              <w:rPr>
                <w:rFonts w:ascii="Times New Roman" w:hAnsi="Times New Roman" w:eastAsia="宋体"/>
                <w:sz w:val="21"/>
                <w:szCs w:val="21"/>
              </w:rPr>
              <w:t>1</w:t>
            </w:r>
          </w:p>
        </w:tc>
      </w:tr>
      <w:tr w14:paraId="586FDB7F">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0" w:type="dxa"/>
            <w:noWrap w:val="0"/>
            <w:vAlign w:val="center"/>
          </w:tcPr>
          <w:p w14:paraId="2D3B3A19">
            <w:pPr>
              <w:spacing w:before="20" w:after="20" w:line="300" w:lineRule="auto"/>
              <w:jc w:val="center"/>
              <w:rPr>
                <w:rFonts w:hint="eastAsia"/>
              </w:rPr>
            </w:pPr>
            <w:r>
              <w:rPr>
                <w:rFonts w:ascii="Times New Roman" w:hAnsi="Times New Roman" w:eastAsia="宋体"/>
                <w:sz w:val="21"/>
                <w:szCs w:val="21"/>
              </w:rPr>
              <w:t>13</w:t>
            </w:r>
          </w:p>
        </w:tc>
        <w:tc>
          <w:tcPr>
            <w:tcW w:w="2126" w:type="dxa"/>
            <w:noWrap w:val="0"/>
            <w:vAlign w:val="center"/>
          </w:tcPr>
          <w:p w14:paraId="2144790D">
            <w:pPr>
              <w:spacing w:before="20" w:after="20" w:line="300" w:lineRule="auto"/>
              <w:jc w:val="center"/>
              <w:rPr>
                <w:rFonts w:hint="eastAsia"/>
              </w:rPr>
            </w:pPr>
            <w:r>
              <w:rPr>
                <w:rFonts w:ascii="Times New Roman" w:hAnsi="Times New Roman" w:eastAsia="宋体"/>
                <w:sz w:val="21"/>
                <w:szCs w:val="21"/>
              </w:rPr>
              <w:t>寻甸县</w:t>
            </w:r>
          </w:p>
        </w:tc>
        <w:tc>
          <w:tcPr>
            <w:tcW w:w="1500" w:type="dxa"/>
            <w:noWrap w:val="0"/>
            <w:vAlign w:val="center"/>
          </w:tcPr>
          <w:p w14:paraId="5C0289FA">
            <w:pPr>
              <w:spacing w:before="20" w:after="20" w:line="300" w:lineRule="auto"/>
              <w:jc w:val="center"/>
              <w:rPr>
                <w:rFonts w:hint="eastAsia"/>
              </w:rPr>
            </w:pPr>
            <w:r>
              <w:rPr>
                <w:rFonts w:ascii="Times New Roman" w:hAnsi="Times New Roman" w:eastAsia="宋体"/>
                <w:sz w:val="21"/>
                <w:szCs w:val="21"/>
              </w:rPr>
              <w:t>10</w:t>
            </w:r>
          </w:p>
        </w:tc>
        <w:tc>
          <w:tcPr>
            <w:tcW w:w="1500" w:type="dxa"/>
            <w:noWrap w:val="0"/>
            <w:vAlign w:val="center"/>
          </w:tcPr>
          <w:p w14:paraId="74FE7CEE">
            <w:pPr>
              <w:spacing w:before="20" w:after="20" w:line="300" w:lineRule="auto"/>
              <w:jc w:val="center"/>
              <w:rPr>
                <w:rFonts w:hint="eastAsia"/>
              </w:rPr>
            </w:pPr>
            <w:r>
              <w:rPr>
                <w:rFonts w:ascii="Times New Roman" w:hAnsi="Times New Roman" w:eastAsia="宋体"/>
                <w:sz w:val="21"/>
                <w:szCs w:val="21"/>
              </w:rPr>
              <w:t>3</w:t>
            </w:r>
          </w:p>
        </w:tc>
        <w:tc>
          <w:tcPr>
            <w:tcW w:w="1500" w:type="dxa"/>
            <w:noWrap w:val="0"/>
            <w:vAlign w:val="center"/>
          </w:tcPr>
          <w:p w14:paraId="1B09EF17">
            <w:pPr>
              <w:spacing w:before="20" w:after="20" w:line="300" w:lineRule="auto"/>
              <w:jc w:val="center"/>
              <w:rPr>
                <w:rFonts w:hint="eastAsia"/>
              </w:rPr>
            </w:pPr>
            <w:r>
              <w:rPr>
                <w:rFonts w:ascii="Times New Roman" w:hAnsi="Times New Roman" w:eastAsia="宋体"/>
                <w:sz w:val="21"/>
                <w:szCs w:val="21"/>
              </w:rPr>
              <w:t>6</w:t>
            </w:r>
          </w:p>
        </w:tc>
        <w:tc>
          <w:tcPr>
            <w:tcW w:w="1500" w:type="dxa"/>
            <w:noWrap w:val="0"/>
            <w:vAlign w:val="center"/>
          </w:tcPr>
          <w:p w14:paraId="5ED183D2">
            <w:pPr>
              <w:spacing w:before="20" w:after="20" w:line="300" w:lineRule="auto"/>
              <w:jc w:val="center"/>
              <w:rPr>
                <w:rFonts w:hint="eastAsia"/>
              </w:rPr>
            </w:pPr>
            <w:r>
              <w:rPr>
                <w:rFonts w:ascii="Times New Roman" w:hAnsi="Times New Roman" w:eastAsia="宋体"/>
                <w:sz w:val="21"/>
                <w:szCs w:val="21"/>
              </w:rPr>
              <w:t>1</w:t>
            </w:r>
          </w:p>
        </w:tc>
      </w:tr>
      <w:tr w14:paraId="5BDA980D">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0" w:type="dxa"/>
            <w:noWrap w:val="0"/>
            <w:vAlign w:val="center"/>
          </w:tcPr>
          <w:p w14:paraId="4A3D8941">
            <w:pPr>
              <w:spacing w:before="20" w:after="20" w:line="300" w:lineRule="auto"/>
              <w:jc w:val="center"/>
              <w:rPr>
                <w:rFonts w:hint="eastAsia"/>
              </w:rPr>
            </w:pPr>
            <w:r>
              <w:rPr>
                <w:rFonts w:ascii="Times New Roman" w:hAnsi="Times New Roman" w:eastAsia="宋体"/>
                <w:sz w:val="21"/>
                <w:szCs w:val="21"/>
              </w:rPr>
              <w:t>14</w:t>
            </w:r>
          </w:p>
        </w:tc>
        <w:tc>
          <w:tcPr>
            <w:tcW w:w="2126" w:type="dxa"/>
            <w:noWrap w:val="0"/>
            <w:vAlign w:val="center"/>
          </w:tcPr>
          <w:p w14:paraId="6C560C4D">
            <w:pPr>
              <w:spacing w:before="20" w:after="20" w:line="300" w:lineRule="auto"/>
              <w:jc w:val="center"/>
              <w:rPr>
                <w:rFonts w:hint="eastAsia"/>
              </w:rPr>
            </w:pPr>
            <w:r>
              <w:rPr>
                <w:rFonts w:ascii="Times New Roman" w:hAnsi="Times New Roman" w:eastAsia="宋体"/>
                <w:sz w:val="21"/>
                <w:szCs w:val="21"/>
              </w:rPr>
              <w:t>安宁市</w:t>
            </w:r>
          </w:p>
        </w:tc>
        <w:tc>
          <w:tcPr>
            <w:tcW w:w="1500" w:type="dxa"/>
            <w:noWrap w:val="0"/>
            <w:vAlign w:val="center"/>
          </w:tcPr>
          <w:p w14:paraId="3968FEFC">
            <w:pPr>
              <w:spacing w:before="20" w:after="20" w:line="300" w:lineRule="auto"/>
              <w:jc w:val="center"/>
              <w:rPr>
                <w:rFonts w:hint="eastAsia"/>
              </w:rPr>
            </w:pPr>
            <w:r>
              <w:rPr>
                <w:rFonts w:ascii="Times New Roman" w:hAnsi="Times New Roman" w:eastAsia="宋体"/>
                <w:sz w:val="21"/>
                <w:szCs w:val="21"/>
              </w:rPr>
              <w:t>11</w:t>
            </w:r>
          </w:p>
        </w:tc>
        <w:tc>
          <w:tcPr>
            <w:tcW w:w="1500" w:type="dxa"/>
            <w:noWrap w:val="0"/>
            <w:vAlign w:val="center"/>
          </w:tcPr>
          <w:p w14:paraId="5F645EBB">
            <w:pPr>
              <w:spacing w:before="20" w:after="20" w:line="300" w:lineRule="auto"/>
              <w:jc w:val="center"/>
              <w:rPr>
                <w:rFonts w:hint="eastAsia"/>
              </w:rPr>
            </w:pPr>
            <w:r>
              <w:rPr>
                <w:rFonts w:ascii="Times New Roman" w:hAnsi="Times New Roman" w:eastAsia="宋体"/>
                <w:sz w:val="21"/>
                <w:szCs w:val="21"/>
              </w:rPr>
              <w:t>3</w:t>
            </w:r>
          </w:p>
        </w:tc>
        <w:tc>
          <w:tcPr>
            <w:tcW w:w="1500" w:type="dxa"/>
            <w:noWrap w:val="0"/>
            <w:vAlign w:val="center"/>
          </w:tcPr>
          <w:p w14:paraId="3C048C4C">
            <w:pPr>
              <w:spacing w:before="20" w:after="20" w:line="300" w:lineRule="auto"/>
              <w:jc w:val="center"/>
              <w:rPr>
                <w:rFonts w:hint="eastAsia"/>
              </w:rPr>
            </w:pPr>
            <w:r>
              <w:rPr>
                <w:rFonts w:ascii="Times New Roman" w:hAnsi="Times New Roman" w:eastAsia="宋体"/>
                <w:sz w:val="21"/>
                <w:szCs w:val="21"/>
              </w:rPr>
              <w:t>7</w:t>
            </w:r>
          </w:p>
        </w:tc>
        <w:tc>
          <w:tcPr>
            <w:tcW w:w="1500" w:type="dxa"/>
            <w:noWrap w:val="0"/>
            <w:vAlign w:val="center"/>
          </w:tcPr>
          <w:p w14:paraId="4A044456">
            <w:pPr>
              <w:spacing w:before="20" w:after="20" w:line="300" w:lineRule="auto"/>
              <w:jc w:val="center"/>
              <w:rPr>
                <w:rFonts w:hint="eastAsia"/>
              </w:rPr>
            </w:pPr>
            <w:r>
              <w:rPr>
                <w:rFonts w:ascii="Times New Roman" w:hAnsi="Times New Roman" w:eastAsia="宋体"/>
                <w:sz w:val="21"/>
                <w:szCs w:val="21"/>
              </w:rPr>
              <w:t>1</w:t>
            </w:r>
          </w:p>
        </w:tc>
      </w:tr>
      <w:tr w14:paraId="133EC4E6">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26" w:type="dxa"/>
            <w:gridSpan w:val="2"/>
            <w:noWrap w:val="0"/>
            <w:vAlign w:val="center"/>
          </w:tcPr>
          <w:p w14:paraId="44683091">
            <w:pPr>
              <w:spacing w:before="20" w:after="20" w:line="300" w:lineRule="auto"/>
              <w:jc w:val="center"/>
              <w:rPr>
                <w:rFonts w:hint="eastAsia"/>
              </w:rPr>
            </w:pPr>
            <w:r>
              <w:rPr>
                <w:rFonts w:ascii="Times New Roman" w:hAnsi="Times New Roman" w:eastAsia="宋体"/>
                <w:sz w:val="21"/>
                <w:szCs w:val="21"/>
              </w:rPr>
              <w:t>合  计</w:t>
            </w:r>
          </w:p>
        </w:tc>
        <w:tc>
          <w:tcPr>
            <w:tcW w:w="1500" w:type="dxa"/>
            <w:noWrap w:val="0"/>
            <w:vAlign w:val="center"/>
          </w:tcPr>
          <w:p w14:paraId="0F1547B5">
            <w:pPr>
              <w:spacing w:before="20" w:after="20" w:line="300" w:lineRule="auto"/>
              <w:jc w:val="center"/>
              <w:rPr>
                <w:rFonts w:hint="eastAsia"/>
              </w:rPr>
            </w:pPr>
            <w:r>
              <w:rPr>
                <w:rFonts w:ascii="Times New Roman" w:hAnsi="Times New Roman" w:eastAsia="宋体"/>
                <w:sz w:val="21"/>
                <w:szCs w:val="21"/>
              </w:rPr>
              <w:t>132</w:t>
            </w:r>
          </w:p>
        </w:tc>
        <w:tc>
          <w:tcPr>
            <w:tcW w:w="1500" w:type="dxa"/>
            <w:noWrap w:val="0"/>
            <w:vAlign w:val="center"/>
          </w:tcPr>
          <w:p w14:paraId="7E6DBBD2">
            <w:pPr>
              <w:spacing w:before="20" w:after="20" w:line="300" w:lineRule="auto"/>
              <w:jc w:val="center"/>
              <w:rPr>
                <w:rFonts w:hint="eastAsia"/>
              </w:rPr>
            </w:pPr>
            <w:r>
              <w:rPr>
                <w:rFonts w:ascii="Times New Roman" w:hAnsi="Times New Roman" w:eastAsia="宋体"/>
                <w:sz w:val="21"/>
                <w:szCs w:val="21"/>
              </w:rPr>
              <w:t>42</w:t>
            </w:r>
          </w:p>
        </w:tc>
        <w:tc>
          <w:tcPr>
            <w:tcW w:w="1500" w:type="dxa"/>
            <w:noWrap w:val="0"/>
            <w:vAlign w:val="center"/>
          </w:tcPr>
          <w:p w14:paraId="5B49364D">
            <w:pPr>
              <w:spacing w:before="20" w:after="20" w:line="300" w:lineRule="auto"/>
              <w:jc w:val="center"/>
              <w:rPr>
                <w:rFonts w:hint="eastAsia"/>
              </w:rPr>
            </w:pPr>
            <w:r>
              <w:rPr>
                <w:rFonts w:ascii="Times New Roman" w:hAnsi="Times New Roman" w:eastAsia="宋体"/>
                <w:sz w:val="21"/>
                <w:szCs w:val="21"/>
              </w:rPr>
              <w:t>76</w:t>
            </w:r>
          </w:p>
        </w:tc>
        <w:tc>
          <w:tcPr>
            <w:tcW w:w="1500" w:type="dxa"/>
            <w:noWrap w:val="0"/>
            <w:vAlign w:val="center"/>
          </w:tcPr>
          <w:p w14:paraId="797A7F7D">
            <w:pPr>
              <w:spacing w:before="20" w:after="20" w:line="300" w:lineRule="auto"/>
              <w:jc w:val="center"/>
              <w:rPr>
                <w:rFonts w:hint="eastAsia"/>
              </w:rPr>
            </w:pPr>
            <w:r>
              <w:rPr>
                <w:rFonts w:ascii="Times New Roman" w:hAnsi="Times New Roman" w:eastAsia="宋体"/>
                <w:sz w:val="21"/>
                <w:szCs w:val="21"/>
              </w:rPr>
              <w:t>14</w:t>
            </w:r>
          </w:p>
        </w:tc>
      </w:tr>
      <w:tr w14:paraId="56EAD632">
        <w:tblPrEx>
          <w:tblBorders>
            <w:top w:val="single" w:color="auto" w:sz="8" w:space="0"/>
            <w:left w:val="single" w:color="auto" w:sz="4" w:space="0"/>
            <w:bottom w:val="single" w:color="auto" w:sz="8"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26" w:type="dxa"/>
            <w:gridSpan w:val="6"/>
            <w:noWrap w:val="0"/>
            <w:vAlign w:val="center"/>
          </w:tcPr>
          <w:p w14:paraId="2376E038">
            <w:pPr>
              <w:spacing w:before="20" w:after="20" w:line="300" w:lineRule="auto"/>
              <w:rPr>
                <w:rFonts w:hint="eastAsia" w:ascii="Times New Roman" w:hAnsi="Times New Roman" w:eastAsia="仿宋_GB2312"/>
                <w:sz w:val="21"/>
                <w:szCs w:val="21"/>
              </w:rPr>
            </w:pPr>
            <w:r>
              <w:rPr>
                <w:rFonts w:hint="eastAsia" w:ascii="Times New Roman" w:hAnsi="Times New Roman" w:eastAsia="宋体"/>
                <w:sz w:val="21"/>
                <w:szCs w:val="21"/>
              </w:rPr>
              <w:t>备注：</w:t>
            </w:r>
            <w:r>
              <w:rPr>
                <w:rFonts w:hint="eastAsia" w:ascii="Times New Roman" w:hAnsi="Times New Roman" w:eastAsia="仿宋_GB2312"/>
                <w:sz w:val="28"/>
                <w:szCs w:val="28"/>
              </w:rPr>
              <w:t>昆明市生态环境分区管控采取动态更新方式，管控方案有更新的按照新方案执行。</w:t>
            </w:r>
          </w:p>
        </w:tc>
      </w:tr>
    </w:tbl>
    <w:p w14:paraId="31861AB3">
      <w:pPr>
        <w:spacing w:after="0" w:line="240" w:lineRule="exact"/>
        <w:rPr>
          <w:rFonts w:hint="eastAsia"/>
        </w:rPr>
      </w:pPr>
    </w:p>
    <w:p w14:paraId="58808198">
      <w:pPr>
        <w:spacing w:after="0" w:line="240" w:lineRule="exact"/>
        <w:rPr>
          <w:rFonts w:hint="eastAsia"/>
        </w:rPr>
      </w:pPr>
    </w:p>
    <w:sectPr>
      <w:footerReference r:id="rId5" w:type="default"/>
      <w:pgSz w:w="11906" w:h="16838"/>
      <w:pgMar w:top="1440" w:right="1440" w:bottom="1440" w:left="1440" w:header="720" w:footer="567" w:gutter="0"/>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548316C-2FC2-456C-B053-FD0001B6331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7530CCC9-6725-43C5-8BE9-069CC2D062E1}"/>
  </w:font>
  <w:font w:name="楷体_GB2312">
    <w:panose1 w:val="02010609030101010101"/>
    <w:charset w:val="86"/>
    <w:family w:val="auto"/>
    <w:pitch w:val="default"/>
    <w:sig w:usb0="00000001" w:usb1="080E0000" w:usb2="00000000" w:usb3="00000000" w:csb0="00040000" w:csb1="00000000"/>
  </w:font>
  <w:font w:name="NEU-BZ">
    <w:altName w:val="宋体"/>
    <w:panose1 w:val="00000000000000000000"/>
    <w:charset w:val="86"/>
    <w:family w:val="auto"/>
    <w:pitch w:val="default"/>
    <w:sig w:usb0="00000000" w:usb1="00000000" w:usb2="00000016" w:usb3="00000000" w:csb0="00040001" w:csb1="00000000"/>
  </w:font>
  <w:font w:name="仿宋">
    <w:panose1 w:val="02010609060101010101"/>
    <w:charset w:val="86"/>
    <w:family w:val="modern"/>
    <w:pitch w:val="default"/>
    <w:sig w:usb0="800002BF" w:usb1="38CF7CFA" w:usb2="00000016" w:usb3="00000000" w:csb0="00040001" w:csb1="00000000"/>
    <w:embedRegular r:id="rId3" w:fontKey="{EFB1BDC0-FAAD-4A61-9947-3FA247C16CEC}"/>
  </w:font>
  <w:font w:name="等线;DengXian">
    <w:altName w:val="宋体"/>
    <w:panose1 w:val="00000000000000000000"/>
    <w:charset w:val="86"/>
    <w:family w:val="roman"/>
    <w:pitch w:val="default"/>
    <w:sig w:usb0="00000000" w:usb1="00000000" w:usb2="00000000" w:usb3="00000000" w:csb0="00040001" w:csb1="00000000"/>
  </w:font>
  <w:font w:name="仿宋_GB2312">
    <w:panose1 w:val="02010609030101010101"/>
    <w:charset w:val="86"/>
    <w:family w:val="auto"/>
    <w:pitch w:val="default"/>
    <w:sig w:usb0="00000001" w:usb1="080E0000" w:usb2="00000000" w:usb3="00000000" w:csb0="00040000" w:csb1="00000000"/>
    <w:embedRegular r:id="rId4" w:fontKey="{902BA38F-D14E-42A7-9BD0-BD6E3FFA47C6}"/>
  </w:font>
  <w:font w:name="方正仿宋_GBK">
    <w:panose1 w:val="02000000000000000000"/>
    <w:charset w:val="86"/>
    <w:family w:val="auto"/>
    <w:pitch w:val="default"/>
    <w:sig w:usb0="A00002BF" w:usb1="38CF7CFA" w:usb2="00082016" w:usb3="00000000" w:csb0="00040001" w:csb1="00000000"/>
    <w:embedRegular r:id="rId5" w:fontKey="{F3AB57C8-787B-452D-91D7-4FDB7AEEEB58}"/>
  </w:font>
  <w:font w:name="Segoe UI">
    <w:panose1 w:val="020B0502040204020203"/>
    <w:charset w:val="00"/>
    <w:family w:val="swiss"/>
    <w:pitch w:val="default"/>
    <w:sig w:usb0="E4002EFF" w:usb1="C000E47F" w:usb2="00000009" w:usb3="00000000" w:csb0="200001FF" w:csb1="00000000"/>
    <w:embedRegular r:id="rId6" w:fontKey="{2C755E24-C83D-4E24-95BD-A3ECB2824F73}"/>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A4AE9">
    <w:pPr>
      <w:pStyle w:val="4"/>
      <w:jc w:val="center"/>
      <w:rPr>
        <w:rFonts w:hint="eastAsia"/>
      </w:rPr>
    </w:pPr>
    <w:r>
      <w:fldChar w:fldCharType="begin"/>
    </w:r>
    <w:r>
      <w:instrText xml:space="preserve">PAGE   \* MERGEFORMAT</w:instrText>
    </w:r>
    <w:r>
      <w:fldChar w:fldCharType="separate"/>
    </w:r>
    <w:r>
      <w:rPr>
        <w:lang w:val="zh-CN"/>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hyphenationZone w:val="360"/>
  <w:displayHorizontalDrawingGridEvery w:val="1"/>
  <w:displayVerticalDrawingGridEvery w:val="1"/>
  <w:noPunctuationKerning w:val="1"/>
  <w:characterSpacingControl w:val="doNotCompress"/>
  <w:footnotePr>
    <w:footnote w:id="0"/>
    <w:footnote w:id="1"/>
  </w:footnotePr>
  <w:endnotePr>
    <w:endnote w:id="0"/>
    <w:endnote w:id="1"/>
  </w:endnotePr>
  <w:compat>
    <w:doNotLeaveBackslashAlon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E69"/>
    <w:rsid w:val="00001758"/>
    <w:rsid w:val="00002A83"/>
    <w:rsid w:val="00003797"/>
    <w:rsid w:val="0001060D"/>
    <w:rsid w:val="00012E24"/>
    <w:rsid w:val="00015F73"/>
    <w:rsid w:val="00016548"/>
    <w:rsid w:val="00017726"/>
    <w:rsid w:val="00021B7B"/>
    <w:rsid w:val="0002480F"/>
    <w:rsid w:val="000262E1"/>
    <w:rsid w:val="0002774B"/>
    <w:rsid w:val="00030CF2"/>
    <w:rsid w:val="00031563"/>
    <w:rsid w:val="00034FDB"/>
    <w:rsid w:val="000353D2"/>
    <w:rsid w:val="00037404"/>
    <w:rsid w:val="00040D60"/>
    <w:rsid w:val="000436CF"/>
    <w:rsid w:val="000445E8"/>
    <w:rsid w:val="00045394"/>
    <w:rsid w:val="00046523"/>
    <w:rsid w:val="00050050"/>
    <w:rsid w:val="0005372E"/>
    <w:rsid w:val="00054EBB"/>
    <w:rsid w:val="00055510"/>
    <w:rsid w:val="00056030"/>
    <w:rsid w:val="00060A34"/>
    <w:rsid w:val="0006192F"/>
    <w:rsid w:val="000622A2"/>
    <w:rsid w:val="000637BB"/>
    <w:rsid w:val="00063E14"/>
    <w:rsid w:val="000667A7"/>
    <w:rsid w:val="00067F64"/>
    <w:rsid w:val="0007197B"/>
    <w:rsid w:val="00074F4F"/>
    <w:rsid w:val="00083EB6"/>
    <w:rsid w:val="00083FC4"/>
    <w:rsid w:val="000866DD"/>
    <w:rsid w:val="000938CF"/>
    <w:rsid w:val="00093D0D"/>
    <w:rsid w:val="00097C39"/>
    <w:rsid w:val="000A087A"/>
    <w:rsid w:val="000A7608"/>
    <w:rsid w:val="000B0865"/>
    <w:rsid w:val="000B2F93"/>
    <w:rsid w:val="000B3A00"/>
    <w:rsid w:val="000B5C56"/>
    <w:rsid w:val="000C4142"/>
    <w:rsid w:val="000C4F4A"/>
    <w:rsid w:val="000C663F"/>
    <w:rsid w:val="000C6C2A"/>
    <w:rsid w:val="000C6F2A"/>
    <w:rsid w:val="000C6FD4"/>
    <w:rsid w:val="000D1CAC"/>
    <w:rsid w:val="000D2DEE"/>
    <w:rsid w:val="000D3814"/>
    <w:rsid w:val="000D43BD"/>
    <w:rsid w:val="000D572E"/>
    <w:rsid w:val="000D5C1A"/>
    <w:rsid w:val="000D6966"/>
    <w:rsid w:val="000D771C"/>
    <w:rsid w:val="000E047B"/>
    <w:rsid w:val="000E48A6"/>
    <w:rsid w:val="000E6935"/>
    <w:rsid w:val="000E79C4"/>
    <w:rsid w:val="000E7AD6"/>
    <w:rsid w:val="000F2DAB"/>
    <w:rsid w:val="000F51B6"/>
    <w:rsid w:val="000F622B"/>
    <w:rsid w:val="000F7CF7"/>
    <w:rsid w:val="00104A5F"/>
    <w:rsid w:val="00113C3B"/>
    <w:rsid w:val="0011427A"/>
    <w:rsid w:val="00115511"/>
    <w:rsid w:val="001155E2"/>
    <w:rsid w:val="00121F8F"/>
    <w:rsid w:val="00123005"/>
    <w:rsid w:val="00125654"/>
    <w:rsid w:val="001258E8"/>
    <w:rsid w:val="00131336"/>
    <w:rsid w:val="001344D6"/>
    <w:rsid w:val="001349BD"/>
    <w:rsid w:val="00135A8D"/>
    <w:rsid w:val="00137DB9"/>
    <w:rsid w:val="0014061B"/>
    <w:rsid w:val="0014100D"/>
    <w:rsid w:val="001457EE"/>
    <w:rsid w:val="00146F71"/>
    <w:rsid w:val="0015279A"/>
    <w:rsid w:val="00153C21"/>
    <w:rsid w:val="00154B47"/>
    <w:rsid w:val="00156952"/>
    <w:rsid w:val="0016276A"/>
    <w:rsid w:val="00174835"/>
    <w:rsid w:val="00176BC1"/>
    <w:rsid w:val="0017770E"/>
    <w:rsid w:val="00177CE8"/>
    <w:rsid w:val="00177CFD"/>
    <w:rsid w:val="001849C8"/>
    <w:rsid w:val="00187DED"/>
    <w:rsid w:val="00187FEB"/>
    <w:rsid w:val="001903AC"/>
    <w:rsid w:val="00190914"/>
    <w:rsid w:val="00192756"/>
    <w:rsid w:val="00192BE1"/>
    <w:rsid w:val="00193AD0"/>
    <w:rsid w:val="00195E8F"/>
    <w:rsid w:val="00196D73"/>
    <w:rsid w:val="001A4F8E"/>
    <w:rsid w:val="001A56DC"/>
    <w:rsid w:val="001A6184"/>
    <w:rsid w:val="001B121D"/>
    <w:rsid w:val="001B2B54"/>
    <w:rsid w:val="001B4317"/>
    <w:rsid w:val="001C3072"/>
    <w:rsid w:val="001C4E97"/>
    <w:rsid w:val="001C7060"/>
    <w:rsid w:val="001D057A"/>
    <w:rsid w:val="001D38B0"/>
    <w:rsid w:val="001D3B93"/>
    <w:rsid w:val="001D4792"/>
    <w:rsid w:val="001D568B"/>
    <w:rsid w:val="001E0AD0"/>
    <w:rsid w:val="001E3DD2"/>
    <w:rsid w:val="001E768D"/>
    <w:rsid w:val="001E7C59"/>
    <w:rsid w:val="001F181D"/>
    <w:rsid w:val="001F4FA2"/>
    <w:rsid w:val="001F67B2"/>
    <w:rsid w:val="002023BC"/>
    <w:rsid w:val="00202782"/>
    <w:rsid w:val="00202B93"/>
    <w:rsid w:val="00203CC7"/>
    <w:rsid w:val="00204557"/>
    <w:rsid w:val="00204658"/>
    <w:rsid w:val="002053C7"/>
    <w:rsid w:val="00207DDE"/>
    <w:rsid w:val="002108C5"/>
    <w:rsid w:val="00211856"/>
    <w:rsid w:val="00213835"/>
    <w:rsid w:val="00214E72"/>
    <w:rsid w:val="00216234"/>
    <w:rsid w:val="00221E69"/>
    <w:rsid w:val="00223573"/>
    <w:rsid w:val="002239DB"/>
    <w:rsid w:val="00224D30"/>
    <w:rsid w:val="00225042"/>
    <w:rsid w:val="0023593A"/>
    <w:rsid w:val="00235E16"/>
    <w:rsid w:val="00240F72"/>
    <w:rsid w:val="00241E1E"/>
    <w:rsid w:val="0024591C"/>
    <w:rsid w:val="00246314"/>
    <w:rsid w:val="00246E81"/>
    <w:rsid w:val="00251572"/>
    <w:rsid w:val="00251C53"/>
    <w:rsid w:val="0025600B"/>
    <w:rsid w:val="00263273"/>
    <w:rsid w:val="002653BB"/>
    <w:rsid w:val="00271773"/>
    <w:rsid w:val="00275711"/>
    <w:rsid w:val="00276825"/>
    <w:rsid w:val="00277DA3"/>
    <w:rsid w:val="002829C3"/>
    <w:rsid w:val="00282B5D"/>
    <w:rsid w:val="002842C5"/>
    <w:rsid w:val="00284813"/>
    <w:rsid w:val="00286207"/>
    <w:rsid w:val="002867C1"/>
    <w:rsid w:val="00286E67"/>
    <w:rsid w:val="002900D0"/>
    <w:rsid w:val="002914AC"/>
    <w:rsid w:val="00291AC9"/>
    <w:rsid w:val="00291BD7"/>
    <w:rsid w:val="00292B78"/>
    <w:rsid w:val="00292C13"/>
    <w:rsid w:val="00293AA1"/>
    <w:rsid w:val="0029470A"/>
    <w:rsid w:val="00294B5E"/>
    <w:rsid w:val="00295984"/>
    <w:rsid w:val="002965E7"/>
    <w:rsid w:val="002A1CEE"/>
    <w:rsid w:val="002A24F5"/>
    <w:rsid w:val="002A260A"/>
    <w:rsid w:val="002A282A"/>
    <w:rsid w:val="002A3728"/>
    <w:rsid w:val="002A4732"/>
    <w:rsid w:val="002A7939"/>
    <w:rsid w:val="002B3E27"/>
    <w:rsid w:val="002B5CE1"/>
    <w:rsid w:val="002B769B"/>
    <w:rsid w:val="002C1D12"/>
    <w:rsid w:val="002C1DD9"/>
    <w:rsid w:val="002C6558"/>
    <w:rsid w:val="002D08D6"/>
    <w:rsid w:val="002D1C83"/>
    <w:rsid w:val="002D29DC"/>
    <w:rsid w:val="002E2397"/>
    <w:rsid w:val="002E3604"/>
    <w:rsid w:val="002F01FC"/>
    <w:rsid w:val="002F42BE"/>
    <w:rsid w:val="002F6748"/>
    <w:rsid w:val="0030198A"/>
    <w:rsid w:val="00301C5D"/>
    <w:rsid w:val="003078BD"/>
    <w:rsid w:val="00310278"/>
    <w:rsid w:val="00311E1E"/>
    <w:rsid w:val="00313F07"/>
    <w:rsid w:val="0032017D"/>
    <w:rsid w:val="0032513B"/>
    <w:rsid w:val="003251BD"/>
    <w:rsid w:val="0033281E"/>
    <w:rsid w:val="00337C41"/>
    <w:rsid w:val="003411C9"/>
    <w:rsid w:val="00343097"/>
    <w:rsid w:val="00351A50"/>
    <w:rsid w:val="0035204D"/>
    <w:rsid w:val="00352433"/>
    <w:rsid w:val="00353414"/>
    <w:rsid w:val="00354FAB"/>
    <w:rsid w:val="003624BD"/>
    <w:rsid w:val="00362DB8"/>
    <w:rsid w:val="00363273"/>
    <w:rsid w:val="003632B5"/>
    <w:rsid w:val="00363DA6"/>
    <w:rsid w:val="00367E5E"/>
    <w:rsid w:val="003760E9"/>
    <w:rsid w:val="003806D3"/>
    <w:rsid w:val="00381AEF"/>
    <w:rsid w:val="00381C37"/>
    <w:rsid w:val="0038218D"/>
    <w:rsid w:val="00390507"/>
    <w:rsid w:val="00394C93"/>
    <w:rsid w:val="003A31CB"/>
    <w:rsid w:val="003B1871"/>
    <w:rsid w:val="003B22A9"/>
    <w:rsid w:val="003B25D6"/>
    <w:rsid w:val="003B3582"/>
    <w:rsid w:val="003C03AA"/>
    <w:rsid w:val="003C0687"/>
    <w:rsid w:val="003C30CA"/>
    <w:rsid w:val="003C4EDE"/>
    <w:rsid w:val="003C7E33"/>
    <w:rsid w:val="003D00C4"/>
    <w:rsid w:val="003D193B"/>
    <w:rsid w:val="003D2B7D"/>
    <w:rsid w:val="003D618B"/>
    <w:rsid w:val="003D6780"/>
    <w:rsid w:val="003D6812"/>
    <w:rsid w:val="003E312C"/>
    <w:rsid w:val="003E4E28"/>
    <w:rsid w:val="003E652C"/>
    <w:rsid w:val="003F7592"/>
    <w:rsid w:val="0040225A"/>
    <w:rsid w:val="004026C5"/>
    <w:rsid w:val="00406C5F"/>
    <w:rsid w:val="00407AF1"/>
    <w:rsid w:val="0041152A"/>
    <w:rsid w:val="00412760"/>
    <w:rsid w:val="00413B87"/>
    <w:rsid w:val="00413F4F"/>
    <w:rsid w:val="004140E6"/>
    <w:rsid w:val="00421F5C"/>
    <w:rsid w:val="004242E9"/>
    <w:rsid w:val="00426802"/>
    <w:rsid w:val="0042710E"/>
    <w:rsid w:val="004278D9"/>
    <w:rsid w:val="00431F92"/>
    <w:rsid w:val="00432958"/>
    <w:rsid w:val="00433027"/>
    <w:rsid w:val="00434B19"/>
    <w:rsid w:val="00435ED6"/>
    <w:rsid w:val="00445D78"/>
    <w:rsid w:val="00447B7C"/>
    <w:rsid w:val="00452C31"/>
    <w:rsid w:val="0045403B"/>
    <w:rsid w:val="0045524C"/>
    <w:rsid w:val="0045667F"/>
    <w:rsid w:val="00461BA2"/>
    <w:rsid w:val="004627A4"/>
    <w:rsid w:val="004668B6"/>
    <w:rsid w:val="0046700F"/>
    <w:rsid w:val="00467CDE"/>
    <w:rsid w:val="00470A6C"/>
    <w:rsid w:val="0047194F"/>
    <w:rsid w:val="00472E5F"/>
    <w:rsid w:val="00474E72"/>
    <w:rsid w:val="004817E7"/>
    <w:rsid w:val="004832F0"/>
    <w:rsid w:val="00486EE0"/>
    <w:rsid w:val="004877B3"/>
    <w:rsid w:val="00490756"/>
    <w:rsid w:val="0049340D"/>
    <w:rsid w:val="00493E11"/>
    <w:rsid w:val="004969F3"/>
    <w:rsid w:val="004A0581"/>
    <w:rsid w:val="004A2949"/>
    <w:rsid w:val="004A2A95"/>
    <w:rsid w:val="004A362E"/>
    <w:rsid w:val="004A36A5"/>
    <w:rsid w:val="004A534E"/>
    <w:rsid w:val="004A5F40"/>
    <w:rsid w:val="004A68BA"/>
    <w:rsid w:val="004B00B6"/>
    <w:rsid w:val="004B1900"/>
    <w:rsid w:val="004B309A"/>
    <w:rsid w:val="004B4321"/>
    <w:rsid w:val="004B44B5"/>
    <w:rsid w:val="004B4ADE"/>
    <w:rsid w:val="004B5DBA"/>
    <w:rsid w:val="004C38D5"/>
    <w:rsid w:val="004D268B"/>
    <w:rsid w:val="004D70CB"/>
    <w:rsid w:val="004E03DA"/>
    <w:rsid w:val="004E0B06"/>
    <w:rsid w:val="004E551E"/>
    <w:rsid w:val="004F09E5"/>
    <w:rsid w:val="004F44F1"/>
    <w:rsid w:val="004F60F1"/>
    <w:rsid w:val="004F748B"/>
    <w:rsid w:val="00503600"/>
    <w:rsid w:val="00503F09"/>
    <w:rsid w:val="00505190"/>
    <w:rsid w:val="005063A0"/>
    <w:rsid w:val="0051263E"/>
    <w:rsid w:val="005155B7"/>
    <w:rsid w:val="00516796"/>
    <w:rsid w:val="005205C7"/>
    <w:rsid w:val="00521106"/>
    <w:rsid w:val="005224FA"/>
    <w:rsid w:val="00522F0D"/>
    <w:rsid w:val="0052316D"/>
    <w:rsid w:val="005268CE"/>
    <w:rsid w:val="0053365D"/>
    <w:rsid w:val="00533D62"/>
    <w:rsid w:val="0053632F"/>
    <w:rsid w:val="005413E9"/>
    <w:rsid w:val="00544168"/>
    <w:rsid w:val="00544957"/>
    <w:rsid w:val="00546389"/>
    <w:rsid w:val="00550662"/>
    <w:rsid w:val="00550A0C"/>
    <w:rsid w:val="00550D81"/>
    <w:rsid w:val="0055513A"/>
    <w:rsid w:val="0056064E"/>
    <w:rsid w:val="0056280D"/>
    <w:rsid w:val="00562E45"/>
    <w:rsid w:val="00565763"/>
    <w:rsid w:val="00567230"/>
    <w:rsid w:val="00570C36"/>
    <w:rsid w:val="005712FD"/>
    <w:rsid w:val="00572E93"/>
    <w:rsid w:val="0057502E"/>
    <w:rsid w:val="00575A60"/>
    <w:rsid w:val="00581985"/>
    <w:rsid w:val="00581FDD"/>
    <w:rsid w:val="00582A2D"/>
    <w:rsid w:val="005842E6"/>
    <w:rsid w:val="00585508"/>
    <w:rsid w:val="00585D62"/>
    <w:rsid w:val="00587544"/>
    <w:rsid w:val="00591B46"/>
    <w:rsid w:val="005924E8"/>
    <w:rsid w:val="005A1A7A"/>
    <w:rsid w:val="005A5216"/>
    <w:rsid w:val="005A5305"/>
    <w:rsid w:val="005A62F9"/>
    <w:rsid w:val="005A70CC"/>
    <w:rsid w:val="005A7A23"/>
    <w:rsid w:val="005B0AAF"/>
    <w:rsid w:val="005B18D2"/>
    <w:rsid w:val="005B72E9"/>
    <w:rsid w:val="005C04FC"/>
    <w:rsid w:val="005C2174"/>
    <w:rsid w:val="005C2EE3"/>
    <w:rsid w:val="005C338F"/>
    <w:rsid w:val="005C7879"/>
    <w:rsid w:val="005D1AFE"/>
    <w:rsid w:val="005D51E0"/>
    <w:rsid w:val="005D626F"/>
    <w:rsid w:val="005D67B0"/>
    <w:rsid w:val="005D7652"/>
    <w:rsid w:val="005E25DD"/>
    <w:rsid w:val="005E3713"/>
    <w:rsid w:val="005E54CB"/>
    <w:rsid w:val="005E59D8"/>
    <w:rsid w:val="005E66DD"/>
    <w:rsid w:val="005E7051"/>
    <w:rsid w:val="005F4756"/>
    <w:rsid w:val="005F524C"/>
    <w:rsid w:val="005F6392"/>
    <w:rsid w:val="005F790F"/>
    <w:rsid w:val="00602B00"/>
    <w:rsid w:val="0060401F"/>
    <w:rsid w:val="006064CE"/>
    <w:rsid w:val="00606FA3"/>
    <w:rsid w:val="006136CD"/>
    <w:rsid w:val="00615723"/>
    <w:rsid w:val="0061572B"/>
    <w:rsid w:val="006216D9"/>
    <w:rsid w:val="00623C6A"/>
    <w:rsid w:val="00623E34"/>
    <w:rsid w:val="00630F26"/>
    <w:rsid w:val="006349D6"/>
    <w:rsid w:val="00634E83"/>
    <w:rsid w:val="00636C2D"/>
    <w:rsid w:val="00641D56"/>
    <w:rsid w:val="00644CC0"/>
    <w:rsid w:val="00651B4E"/>
    <w:rsid w:val="00651F7B"/>
    <w:rsid w:val="0065258E"/>
    <w:rsid w:val="00652723"/>
    <w:rsid w:val="006573CB"/>
    <w:rsid w:val="006574FD"/>
    <w:rsid w:val="00662AFE"/>
    <w:rsid w:val="006808F1"/>
    <w:rsid w:val="00681B97"/>
    <w:rsid w:val="00682B2E"/>
    <w:rsid w:val="00683CB3"/>
    <w:rsid w:val="00684793"/>
    <w:rsid w:val="006866FC"/>
    <w:rsid w:val="00686DE9"/>
    <w:rsid w:val="006879ED"/>
    <w:rsid w:val="00690987"/>
    <w:rsid w:val="006917D0"/>
    <w:rsid w:val="00691A59"/>
    <w:rsid w:val="00692B9F"/>
    <w:rsid w:val="00694402"/>
    <w:rsid w:val="00695467"/>
    <w:rsid w:val="00696ACE"/>
    <w:rsid w:val="006A269E"/>
    <w:rsid w:val="006A6AE9"/>
    <w:rsid w:val="006B0F45"/>
    <w:rsid w:val="006B0FD7"/>
    <w:rsid w:val="006C115C"/>
    <w:rsid w:val="006C39A0"/>
    <w:rsid w:val="006C3CFB"/>
    <w:rsid w:val="006C3F08"/>
    <w:rsid w:val="006C623D"/>
    <w:rsid w:val="006C6ED3"/>
    <w:rsid w:val="006C7ED4"/>
    <w:rsid w:val="006D3C79"/>
    <w:rsid w:val="006D476A"/>
    <w:rsid w:val="006E1C0A"/>
    <w:rsid w:val="006E1EC0"/>
    <w:rsid w:val="006E3236"/>
    <w:rsid w:val="006E498C"/>
    <w:rsid w:val="006F2080"/>
    <w:rsid w:val="00701090"/>
    <w:rsid w:val="00702A0E"/>
    <w:rsid w:val="00703663"/>
    <w:rsid w:val="00706E59"/>
    <w:rsid w:val="0070746B"/>
    <w:rsid w:val="0070757A"/>
    <w:rsid w:val="007106E1"/>
    <w:rsid w:val="0071363B"/>
    <w:rsid w:val="00720DBF"/>
    <w:rsid w:val="007233DA"/>
    <w:rsid w:val="0072386A"/>
    <w:rsid w:val="00725036"/>
    <w:rsid w:val="007302B8"/>
    <w:rsid w:val="007329A7"/>
    <w:rsid w:val="007351A1"/>
    <w:rsid w:val="00735D1F"/>
    <w:rsid w:val="00745216"/>
    <w:rsid w:val="00750522"/>
    <w:rsid w:val="007510B1"/>
    <w:rsid w:val="00754F11"/>
    <w:rsid w:val="007570AD"/>
    <w:rsid w:val="0076013F"/>
    <w:rsid w:val="0076094E"/>
    <w:rsid w:val="00764421"/>
    <w:rsid w:val="0076616B"/>
    <w:rsid w:val="00767883"/>
    <w:rsid w:val="00770DA3"/>
    <w:rsid w:val="00777A37"/>
    <w:rsid w:val="0078025A"/>
    <w:rsid w:val="00784C69"/>
    <w:rsid w:val="00784E07"/>
    <w:rsid w:val="007855DE"/>
    <w:rsid w:val="00790852"/>
    <w:rsid w:val="00790AD6"/>
    <w:rsid w:val="00790BCB"/>
    <w:rsid w:val="007918DA"/>
    <w:rsid w:val="00791C0F"/>
    <w:rsid w:val="0079317F"/>
    <w:rsid w:val="00793883"/>
    <w:rsid w:val="00793EFD"/>
    <w:rsid w:val="007943BD"/>
    <w:rsid w:val="007A3683"/>
    <w:rsid w:val="007A5ABF"/>
    <w:rsid w:val="007B49E4"/>
    <w:rsid w:val="007B643A"/>
    <w:rsid w:val="007C1FA1"/>
    <w:rsid w:val="007D003D"/>
    <w:rsid w:val="007D360F"/>
    <w:rsid w:val="007D3971"/>
    <w:rsid w:val="007D39EE"/>
    <w:rsid w:val="007D3CE9"/>
    <w:rsid w:val="007D4D6E"/>
    <w:rsid w:val="007D5A53"/>
    <w:rsid w:val="007E0564"/>
    <w:rsid w:val="007E1E32"/>
    <w:rsid w:val="007E2DDE"/>
    <w:rsid w:val="007E31CB"/>
    <w:rsid w:val="007E5348"/>
    <w:rsid w:val="007E5C48"/>
    <w:rsid w:val="007E5FA9"/>
    <w:rsid w:val="007F1D0C"/>
    <w:rsid w:val="007F5A56"/>
    <w:rsid w:val="007F7B89"/>
    <w:rsid w:val="0080621D"/>
    <w:rsid w:val="008219FA"/>
    <w:rsid w:val="0082380C"/>
    <w:rsid w:val="008328BA"/>
    <w:rsid w:val="008360C2"/>
    <w:rsid w:val="00836F05"/>
    <w:rsid w:val="00841441"/>
    <w:rsid w:val="0084221F"/>
    <w:rsid w:val="008426C8"/>
    <w:rsid w:val="00844479"/>
    <w:rsid w:val="008453D5"/>
    <w:rsid w:val="00851FAB"/>
    <w:rsid w:val="00852FB0"/>
    <w:rsid w:val="0085347A"/>
    <w:rsid w:val="00860080"/>
    <w:rsid w:val="00860ADA"/>
    <w:rsid w:val="00860E48"/>
    <w:rsid w:val="00864987"/>
    <w:rsid w:val="00865B10"/>
    <w:rsid w:val="008667EC"/>
    <w:rsid w:val="00871C2B"/>
    <w:rsid w:val="008746D6"/>
    <w:rsid w:val="00880424"/>
    <w:rsid w:val="008813BC"/>
    <w:rsid w:val="00883303"/>
    <w:rsid w:val="00883337"/>
    <w:rsid w:val="00885A44"/>
    <w:rsid w:val="00890A64"/>
    <w:rsid w:val="008923C9"/>
    <w:rsid w:val="008944E2"/>
    <w:rsid w:val="0089546F"/>
    <w:rsid w:val="00895A0E"/>
    <w:rsid w:val="008A1533"/>
    <w:rsid w:val="008A2A37"/>
    <w:rsid w:val="008B0F29"/>
    <w:rsid w:val="008B1283"/>
    <w:rsid w:val="008B3948"/>
    <w:rsid w:val="008B4F7D"/>
    <w:rsid w:val="008B5C5E"/>
    <w:rsid w:val="008C1A07"/>
    <w:rsid w:val="008C217A"/>
    <w:rsid w:val="008C3165"/>
    <w:rsid w:val="008C3DDB"/>
    <w:rsid w:val="008C58AE"/>
    <w:rsid w:val="008C5DB8"/>
    <w:rsid w:val="008C6C54"/>
    <w:rsid w:val="008D0E96"/>
    <w:rsid w:val="008D30BA"/>
    <w:rsid w:val="008D3DBD"/>
    <w:rsid w:val="008D561B"/>
    <w:rsid w:val="008D6897"/>
    <w:rsid w:val="008D6CC3"/>
    <w:rsid w:val="008E14C5"/>
    <w:rsid w:val="008E6958"/>
    <w:rsid w:val="008F0AD1"/>
    <w:rsid w:val="008F4905"/>
    <w:rsid w:val="008F4958"/>
    <w:rsid w:val="008F6C06"/>
    <w:rsid w:val="00905637"/>
    <w:rsid w:val="00907021"/>
    <w:rsid w:val="00911370"/>
    <w:rsid w:val="009126C2"/>
    <w:rsid w:val="00914430"/>
    <w:rsid w:val="0091518B"/>
    <w:rsid w:val="0091618D"/>
    <w:rsid w:val="00921143"/>
    <w:rsid w:val="0092261E"/>
    <w:rsid w:val="00925B2F"/>
    <w:rsid w:val="00925FAE"/>
    <w:rsid w:val="00932784"/>
    <w:rsid w:val="00934173"/>
    <w:rsid w:val="0093486E"/>
    <w:rsid w:val="00936E83"/>
    <w:rsid w:val="009400FB"/>
    <w:rsid w:val="00940E48"/>
    <w:rsid w:val="00943E04"/>
    <w:rsid w:val="0094513F"/>
    <w:rsid w:val="00952D02"/>
    <w:rsid w:val="00952DD7"/>
    <w:rsid w:val="00957CAE"/>
    <w:rsid w:val="009609BD"/>
    <w:rsid w:val="00960B4A"/>
    <w:rsid w:val="00963D46"/>
    <w:rsid w:val="00965146"/>
    <w:rsid w:val="009658BF"/>
    <w:rsid w:val="00970860"/>
    <w:rsid w:val="00973FE0"/>
    <w:rsid w:val="00975C24"/>
    <w:rsid w:val="009779EF"/>
    <w:rsid w:val="009824AF"/>
    <w:rsid w:val="009869D8"/>
    <w:rsid w:val="00997292"/>
    <w:rsid w:val="00997E17"/>
    <w:rsid w:val="009A0B8D"/>
    <w:rsid w:val="009A1796"/>
    <w:rsid w:val="009A447C"/>
    <w:rsid w:val="009A59EC"/>
    <w:rsid w:val="009B1FD1"/>
    <w:rsid w:val="009B6069"/>
    <w:rsid w:val="009B792D"/>
    <w:rsid w:val="009C105F"/>
    <w:rsid w:val="009C2F28"/>
    <w:rsid w:val="009D2160"/>
    <w:rsid w:val="009D5C4F"/>
    <w:rsid w:val="009E101A"/>
    <w:rsid w:val="009E122C"/>
    <w:rsid w:val="009E1AFD"/>
    <w:rsid w:val="009E2B64"/>
    <w:rsid w:val="009E4B7A"/>
    <w:rsid w:val="009E5EB3"/>
    <w:rsid w:val="009F11DC"/>
    <w:rsid w:val="009F18E0"/>
    <w:rsid w:val="009F1E97"/>
    <w:rsid w:val="009F3B49"/>
    <w:rsid w:val="009F5301"/>
    <w:rsid w:val="00A01E0D"/>
    <w:rsid w:val="00A02AA4"/>
    <w:rsid w:val="00A03797"/>
    <w:rsid w:val="00A03B76"/>
    <w:rsid w:val="00A074E6"/>
    <w:rsid w:val="00A077A2"/>
    <w:rsid w:val="00A10DB1"/>
    <w:rsid w:val="00A1120D"/>
    <w:rsid w:val="00A13D20"/>
    <w:rsid w:val="00A158DC"/>
    <w:rsid w:val="00A162A3"/>
    <w:rsid w:val="00A20533"/>
    <w:rsid w:val="00A20621"/>
    <w:rsid w:val="00A308C6"/>
    <w:rsid w:val="00A330C1"/>
    <w:rsid w:val="00A4210D"/>
    <w:rsid w:val="00A436EA"/>
    <w:rsid w:val="00A47784"/>
    <w:rsid w:val="00A6296A"/>
    <w:rsid w:val="00A62C5F"/>
    <w:rsid w:val="00A644FC"/>
    <w:rsid w:val="00A65F23"/>
    <w:rsid w:val="00A660E2"/>
    <w:rsid w:val="00A66C17"/>
    <w:rsid w:val="00A67E62"/>
    <w:rsid w:val="00A707B3"/>
    <w:rsid w:val="00A73C66"/>
    <w:rsid w:val="00A7681E"/>
    <w:rsid w:val="00A76BD2"/>
    <w:rsid w:val="00A84C81"/>
    <w:rsid w:val="00A86E80"/>
    <w:rsid w:val="00A87335"/>
    <w:rsid w:val="00A9220A"/>
    <w:rsid w:val="00A972DD"/>
    <w:rsid w:val="00AA4355"/>
    <w:rsid w:val="00AA48E7"/>
    <w:rsid w:val="00AA6EB8"/>
    <w:rsid w:val="00AB0BA9"/>
    <w:rsid w:val="00AB1D63"/>
    <w:rsid w:val="00AB2779"/>
    <w:rsid w:val="00AB3B70"/>
    <w:rsid w:val="00AC2F96"/>
    <w:rsid w:val="00AC34AF"/>
    <w:rsid w:val="00AD0139"/>
    <w:rsid w:val="00AD170D"/>
    <w:rsid w:val="00AD3BE1"/>
    <w:rsid w:val="00AD60E5"/>
    <w:rsid w:val="00AD61D9"/>
    <w:rsid w:val="00AE2700"/>
    <w:rsid w:val="00AE32CF"/>
    <w:rsid w:val="00AE573A"/>
    <w:rsid w:val="00AE7131"/>
    <w:rsid w:val="00AE7390"/>
    <w:rsid w:val="00AF0A4D"/>
    <w:rsid w:val="00AF3838"/>
    <w:rsid w:val="00AF51D1"/>
    <w:rsid w:val="00AF601D"/>
    <w:rsid w:val="00AF64CC"/>
    <w:rsid w:val="00AF6E50"/>
    <w:rsid w:val="00B00C6A"/>
    <w:rsid w:val="00B00E69"/>
    <w:rsid w:val="00B01125"/>
    <w:rsid w:val="00B01F82"/>
    <w:rsid w:val="00B02034"/>
    <w:rsid w:val="00B04B6A"/>
    <w:rsid w:val="00B05C93"/>
    <w:rsid w:val="00B0670D"/>
    <w:rsid w:val="00B10F28"/>
    <w:rsid w:val="00B13D96"/>
    <w:rsid w:val="00B20FAD"/>
    <w:rsid w:val="00B22761"/>
    <w:rsid w:val="00B25939"/>
    <w:rsid w:val="00B25E97"/>
    <w:rsid w:val="00B263BF"/>
    <w:rsid w:val="00B2777D"/>
    <w:rsid w:val="00B452AF"/>
    <w:rsid w:val="00B50D5E"/>
    <w:rsid w:val="00B54EDF"/>
    <w:rsid w:val="00B5530F"/>
    <w:rsid w:val="00B55AE8"/>
    <w:rsid w:val="00B5621D"/>
    <w:rsid w:val="00B569D2"/>
    <w:rsid w:val="00B640C2"/>
    <w:rsid w:val="00B64F14"/>
    <w:rsid w:val="00B6657B"/>
    <w:rsid w:val="00B679ED"/>
    <w:rsid w:val="00B71812"/>
    <w:rsid w:val="00B7221F"/>
    <w:rsid w:val="00B72B33"/>
    <w:rsid w:val="00B73F73"/>
    <w:rsid w:val="00B760BD"/>
    <w:rsid w:val="00B779D9"/>
    <w:rsid w:val="00B80D0A"/>
    <w:rsid w:val="00B80D99"/>
    <w:rsid w:val="00B84A69"/>
    <w:rsid w:val="00B92677"/>
    <w:rsid w:val="00B93FCF"/>
    <w:rsid w:val="00BA1C29"/>
    <w:rsid w:val="00BA2207"/>
    <w:rsid w:val="00BA2BF0"/>
    <w:rsid w:val="00BA3E9D"/>
    <w:rsid w:val="00BA4F37"/>
    <w:rsid w:val="00BA63CD"/>
    <w:rsid w:val="00BB01D4"/>
    <w:rsid w:val="00BB23B5"/>
    <w:rsid w:val="00BB48F4"/>
    <w:rsid w:val="00BB564A"/>
    <w:rsid w:val="00BC3B23"/>
    <w:rsid w:val="00BC5753"/>
    <w:rsid w:val="00BD1EFB"/>
    <w:rsid w:val="00BD43DE"/>
    <w:rsid w:val="00BD4BC1"/>
    <w:rsid w:val="00BD5365"/>
    <w:rsid w:val="00BD7D18"/>
    <w:rsid w:val="00BD7F56"/>
    <w:rsid w:val="00BE30DF"/>
    <w:rsid w:val="00BE462E"/>
    <w:rsid w:val="00BF2C93"/>
    <w:rsid w:val="00BF33DA"/>
    <w:rsid w:val="00BF39E0"/>
    <w:rsid w:val="00BF46EA"/>
    <w:rsid w:val="00C002AD"/>
    <w:rsid w:val="00C0220A"/>
    <w:rsid w:val="00C11297"/>
    <w:rsid w:val="00C11A4A"/>
    <w:rsid w:val="00C11B06"/>
    <w:rsid w:val="00C12BA8"/>
    <w:rsid w:val="00C15950"/>
    <w:rsid w:val="00C16369"/>
    <w:rsid w:val="00C21DD2"/>
    <w:rsid w:val="00C2517A"/>
    <w:rsid w:val="00C2668E"/>
    <w:rsid w:val="00C27C62"/>
    <w:rsid w:val="00C32906"/>
    <w:rsid w:val="00C33D45"/>
    <w:rsid w:val="00C341FB"/>
    <w:rsid w:val="00C41B40"/>
    <w:rsid w:val="00C430FE"/>
    <w:rsid w:val="00C467CE"/>
    <w:rsid w:val="00C46D24"/>
    <w:rsid w:val="00C51C3D"/>
    <w:rsid w:val="00C544C8"/>
    <w:rsid w:val="00C549D3"/>
    <w:rsid w:val="00C55C70"/>
    <w:rsid w:val="00C57839"/>
    <w:rsid w:val="00C61E9E"/>
    <w:rsid w:val="00C62706"/>
    <w:rsid w:val="00C66852"/>
    <w:rsid w:val="00C67332"/>
    <w:rsid w:val="00C7118C"/>
    <w:rsid w:val="00C712E0"/>
    <w:rsid w:val="00C74985"/>
    <w:rsid w:val="00C761AB"/>
    <w:rsid w:val="00C80CBF"/>
    <w:rsid w:val="00C83066"/>
    <w:rsid w:val="00C86FA2"/>
    <w:rsid w:val="00C90B98"/>
    <w:rsid w:val="00C941B7"/>
    <w:rsid w:val="00C9445E"/>
    <w:rsid w:val="00C96F02"/>
    <w:rsid w:val="00C97D4C"/>
    <w:rsid w:val="00CA0079"/>
    <w:rsid w:val="00CA0E14"/>
    <w:rsid w:val="00CA5A5E"/>
    <w:rsid w:val="00CB007B"/>
    <w:rsid w:val="00CB1C84"/>
    <w:rsid w:val="00CB7679"/>
    <w:rsid w:val="00CB76C1"/>
    <w:rsid w:val="00CC0FF2"/>
    <w:rsid w:val="00CC2C2E"/>
    <w:rsid w:val="00CC4192"/>
    <w:rsid w:val="00CC7002"/>
    <w:rsid w:val="00CD2E39"/>
    <w:rsid w:val="00CD2F58"/>
    <w:rsid w:val="00CD4D40"/>
    <w:rsid w:val="00CE0849"/>
    <w:rsid w:val="00CE2166"/>
    <w:rsid w:val="00CE2FFE"/>
    <w:rsid w:val="00CF0683"/>
    <w:rsid w:val="00CF090C"/>
    <w:rsid w:val="00CF0D12"/>
    <w:rsid w:val="00CF1955"/>
    <w:rsid w:val="00CF35E5"/>
    <w:rsid w:val="00CF4681"/>
    <w:rsid w:val="00CF5A3A"/>
    <w:rsid w:val="00CF6E93"/>
    <w:rsid w:val="00D054C9"/>
    <w:rsid w:val="00D059FB"/>
    <w:rsid w:val="00D06AB6"/>
    <w:rsid w:val="00D07DE8"/>
    <w:rsid w:val="00D1110C"/>
    <w:rsid w:val="00D12542"/>
    <w:rsid w:val="00D141BE"/>
    <w:rsid w:val="00D168B3"/>
    <w:rsid w:val="00D17883"/>
    <w:rsid w:val="00D22677"/>
    <w:rsid w:val="00D23EF0"/>
    <w:rsid w:val="00D247D4"/>
    <w:rsid w:val="00D24BCC"/>
    <w:rsid w:val="00D321DC"/>
    <w:rsid w:val="00D342F4"/>
    <w:rsid w:val="00D355CA"/>
    <w:rsid w:val="00D35A44"/>
    <w:rsid w:val="00D368AE"/>
    <w:rsid w:val="00D377D2"/>
    <w:rsid w:val="00D46494"/>
    <w:rsid w:val="00D47A27"/>
    <w:rsid w:val="00D50EFF"/>
    <w:rsid w:val="00D5150B"/>
    <w:rsid w:val="00D55AB7"/>
    <w:rsid w:val="00D60434"/>
    <w:rsid w:val="00D61F41"/>
    <w:rsid w:val="00D63FD4"/>
    <w:rsid w:val="00D66584"/>
    <w:rsid w:val="00D725D8"/>
    <w:rsid w:val="00D76132"/>
    <w:rsid w:val="00D7690E"/>
    <w:rsid w:val="00D81CEC"/>
    <w:rsid w:val="00D84C21"/>
    <w:rsid w:val="00D85842"/>
    <w:rsid w:val="00D86B96"/>
    <w:rsid w:val="00D9326A"/>
    <w:rsid w:val="00D93834"/>
    <w:rsid w:val="00D966FA"/>
    <w:rsid w:val="00D97535"/>
    <w:rsid w:val="00DA0A53"/>
    <w:rsid w:val="00DA1668"/>
    <w:rsid w:val="00DA29B9"/>
    <w:rsid w:val="00DA2F7F"/>
    <w:rsid w:val="00DA474A"/>
    <w:rsid w:val="00DA5980"/>
    <w:rsid w:val="00DA778B"/>
    <w:rsid w:val="00DB248B"/>
    <w:rsid w:val="00DB4D17"/>
    <w:rsid w:val="00DB54A8"/>
    <w:rsid w:val="00DB5EEF"/>
    <w:rsid w:val="00DC1782"/>
    <w:rsid w:val="00DC46D6"/>
    <w:rsid w:val="00DC7F36"/>
    <w:rsid w:val="00DD013A"/>
    <w:rsid w:val="00DD099C"/>
    <w:rsid w:val="00DD50F1"/>
    <w:rsid w:val="00DE41D3"/>
    <w:rsid w:val="00DE44BB"/>
    <w:rsid w:val="00DE56F6"/>
    <w:rsid w:val="00DE59E1"/>
    <w:rsid w:val="00DE66FB"/>
    <w:rsid w:val="00DF1C16"/>
    <w:rsid w:val="00DF2B24"/>
    <w:rsid w:val="00DF2E39"/>
    <w:rsid w:val="00DF618D"/>
    <w:rsid w:val="00DF6FA1"/>
    <w:rsid w:val="00DF7E99"/>
    <w:rsid w:val="00E0169B"/>
    <w:rsid w:val="00E02AA4"/>
    <w:rsid w:val="00E0527E"/>
    <w:rsid w:val="00E063D4"/>
    <w:rsid w:val="00E10DE8"/>
    <w:rsid w:val="00E1286B"/>
    <w:rsid w:val="00E12A62"/>
    <w:rsid w:val="00E12F1D"/>
    <w:rsid w:val="00E16797"/>
    <w:rsid w:val="00E17DC0"/>
    <w:rsid w:val="00E21C38"/>
    <w:rsid w:val="00E21FA6"/>
    <w:rsid w:val="00E229D9"/>
    <w:rsid w:val="00E22CBA"/>
    <w:rsid w:val="00E22EB3"/>
    <w:rsid w:val="00E25A62"/>
    <w:rsid w:val="00E32E6B"/>
    <w:rsid w:val="00E35042"/>
    <w:rsid w:val="00E36944"/>
    <w:rsid w:val="00E4138D"/>
    <w:rsid w:val="00E53092"/>
    <w:rsid w:val="00E544E0"/>
    <w:rsid w:val="00E56110"/>
    <w:rsid w:val="00E57D80"/>
    <w:rsid w:val="00E60758"/>
    <w:rsid w:val="00E60BA1"/>
    <w:rsid w:val="00E6201B"/>
    <w:rsid w:val="00E645C1"/>
    <w:rsid w:val="00E65514"/>
    <w:rsid w:val="00E65E68"/>
    <w:rsid w:val="00E66151"/>
    <w:rsid w:val="00E71CD2"/>
    <w:rsid w:val="00E72691"/>
    <w:rsid w:val="00E7471F"/>
    <w:rsid w:val="00E75816"/>
    <w:rsid w:val="00E75FC7"/>
    <w:rsid w:val="00E77338"/>
    <w:rsid w:val="00E8043F"/>
    <w:rsid w:val="00E807A3"/>
    <w:rsid w:val="00E81150"/>
    <w:rsid w:val="00E8124B"/>
    <w:rsid w:val="00E82B46"/>
    <w:rsid w:val="00E8380F"/>
    <w:rsid w:val="00E87F3A"/>
    <w:rsid w:val="00E92D1C"/>
    <w:rsid w:val="00E93513"/>
    <w:rsid w:val="00EA2637"/>
    <w:rsid w:val="00EA2860"/>
    <w:rsid w:val="00EA599C"/>
    <w:rsid w:val="00EA627C"/>
    <w:rsid w:val="00EA721E"/>
    <w:rsid w:val="00EB1DF2"/>
    <w:rsid w:val="00EB6C12"/>
    <w:rsid w:val="00EC38ED"/>
    <w:rsid w:val="00EC75B8"/>
    <w:rsid w:val="00ED2E5C"/>
    <w:rsid w:val="00ED7CAA"/>
    <w:rsid w:val="00EE0CCB"/>
    <w:rsid w:val="00EE66E6"/>
    <w:rsid w:val="00EF01BA"/>
    <w:rsid w:val="00EF10E3"/>
    <w:rsid w:val="00EF21E2"/>
    <w:rsid w:val="00EF25BE"/>
    <w:rsid w:val="00EF282E"/>
    <w:rsid w:val="00EF2AC8"/>
    <w:rsid w:val="00EF66A0"/>
    <w:rsid w:val="00F01910"/>
    <w:rsid w:val="00F02D49"/>
    <w:rsid w:val="00F03943"/>
    <w:rsid w:val="00F05974"/>
    <w:rsid w:val="00F10C1A"/>
    <w:rsid w:val="00F17100"/>
    <w:rsid w:val="00F176B4"/>
    <w:rsid w:val="00F17EB6"/>
    <w:rsid w:val="00F217A8"/>
    <w:rsid w:val="00F23F5B"/>
    <w:rsid w:val="00F2535A"/>
    <w:rsid w:val="00F276D8"/>
    <w:rsid w:val="00F3007C"/>
    <w:rsid w:val="00F300BD"/>
    <w:rsid w:val="00F30365"/>
    <w:rsid w:val="00F303D4"/>
    <w:rsid w:val="00F30997"/>
    <w:rsid w:val="00F31D38"/>
    <w:rsid w:val="00F322AB"/>
    <w:rsid w:val="00F3537B"/>
    <w:rsid w:val="00F355B9"/>
    <w:rsid w:val="00F4036C"/>
    <w:rsid w:val="00F4055B"/>
    <w:rsid w:val="00F41144"/>
    <w:rsid w:val="00F4244C"/>
    <w:rsid w:val="00F47E78"/>
    <w:rsid w:val="00F54213"/>
    <w:rsid w:val="00F54605"/>
    <w:rsid w:val="00F62256"/>
    <w:rsid w:val="00F62443"/>
    <w:rsid w:val="00F76C7C"/>
    <w:rsid w:val="00F81341"/>
    <w:rsid w:val="00F82851"/>
    <w:rsid w:val="00F8505B"/>
    <w:rsid w:val="00F87271"/>
    <w:rsid w:val="00F87891"/>
    <w:rsid w:val="00F91D5C"/>
    <w:rsid w:val="00F938DA"/>
    <w:rsid w:val="00F9432A"/>
    <w:rsid w:val="00FA116D"/>
    <w:rsid w:val="00FA3F62"/>
    <w:rsid w:val="00FA5260"/>
    <w:rsid w:val="00FA65AA"/>
    <w:rsid w:val="00FA7224"/>
    <w:rsid w:val="00FA753C"/>
    <w:rsid w:val="00FB1226"/>
    <w:rsid w:val="00FB44C1"/>
    <w:rsid w:val="00FB4E10"/>
    <w:rsid w:val="00FB4FC2"/>
    <w:rsid w:val="00FB54F4"/>
    <w:rsid w:val="00FB67D9"/>
    <w:rsid w:val="00FC3DD8"/>
    <w:rsid w:val="00FC5B13"/>
    <w:rsid w:val="00FC69C8"/>
    <w:rsid w:val="00FC6D47"/>
    <w:rsid w:val="00FD127A"/>
    <w:rsid w:val="00FD3E94"/>
    <w:rsid w:val="00FE225E"/>
    <w:rsid w:val="00FE51F6"/>
    <w:rsid w:val="00FE7FB6"/>
    <w:rsid w:val="00FF3508"/>
    <w:rsid w:val="05CF1758"/>
    <w:rsid w:val="0AC82745"/>
    <w:rsid w:val="0C237C4A"/>
    <w:rsid w:val="1CB94801"/>
    <w:rsid w:val="1DFD7769"/>
    <w:rsid w:val="2CB22C83"/>
    <w:rsid w:val="4BC41EB9"/>
    <w:rsid w:val="556A298A"/>
    <w:rsid w:val="571346FD"/>
    <w:rsid w:val="6BE72980"/>
    <w:rsid w:val="7CF10D21"/>
    <w:rsid w:val="7E39490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等线" w:hAnsi="等线" w:eastAsia="等线" w:cs="Times New Roman"/>
      <w:kern w:val="2"/>
      <w:sz w:val="22"/>
      <w:szCs w:val="24"/>
      <w:lang w:val="en-US" w:eastAsia="zh-CN" w:bidi="ar-SA"/>
    </w:rPr>
  </w:style>
  <w:style w:type="paragraph" w:styleId="2">
    <w:name w:val="heading 2"/>
    <w:next w:val="1"/>
    <w:link w:val="13"/>
    <w:qFormat/>
    <w:uiPriority w:val="0"/>
    <w:pPr>
      <w:keepNext/>
      <w:keepLines/>
      <w:spacing w:line="560" w:lineRule="exact"/>
      <w:ind w:firstLine="640" w:firstLineChars="200"/>
      <w:outlineLvl w:val="1"/>
    </w:pPr>
    <w:rPr>
      <w:rFonts w:ascii="黑体" w:hAnsi="黑体" w:eastAsia="楷体_GB2312" w:cs="Times New Roman"/>
      <w:bCs/>
      <w:sz w:val="32"/>
      <w:szCs w:val="32"/>
      <w:lang w:val="en-US" w:eastAsia="zh-CN" w:bidi="ar-SA"/>
    </w:rPr>
  </w:style>
  <w:style w:type="character" w:default="1" w:styleId="10">
    <w:name w:val="Default Paragraph Font"/>
    <w:unhideWhenUsed/>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3">
    <w:name w:val="annotation text"/>
    <w:basedOn w:val="1"/>
    <w:link w:val="14"/>
    <w:unhideWhenUsed/>
    <w:qFormat/>
    <w:uiPriority w:val="99"/>
  </w:style>
  <w:style w:type="paragraph" w:styleId="4">
    <w:name w:val="footer"/>
    <w:basedOn w:val="1"/>
    <w:link w:val="15"/>
    <w:unhideWhenUsed/>
    <w:qFormat/>
    <w:uiPriority w:val="99"/>
    <w:pPr>
      <w:tabs>
        <w:tab w:val="center" w:pos="4153"/>
        <w:tab w:val="right" w:pos="8306"/>
      </w:tabs>
      <w:snapToGrid w:val="0"/>
      <w:spacing w:line="240" w:lineRule="auto"/>
    </w:pPr>
    <w:rPr>
      <w:sz w:val="18"/>
      <w:szCs w:val="18"/>
    </w:rPr>
  </w:style>
  <w:style w:type="paragraph" w:styleId="5">
    <w:name w:val="header"/>
    <w:basedOn w:val="1"/>
    <w:link w:val="16"/>
    <w:unhideWhenUsed/>
    <w:uiPriority w:val="99"/>
    <w:pPr>
      <w:tabs>
        <w:tab w:val="center" w:pos="4153"/>
        <w:tab w:val="right" w:pos="8306"/>
      </w:tabs>
      <w:snapToGrid w:val="0"/>
      <w:spacing w:line="240" w:lineRule="auto"/>
      <w:jc w:val="center"/>
    </w:pPr>
    <w:rPr>
      <w:sz w:val="18"/>
      <w:szCs w:val="18"/>
    </w:rPr>
  </w:style>
  <w:style w:type="paragraph" w:styleId="6">
    <w:name w:val="Normal (Web)"/>
    <w:basedOn w:val="1"/>
    <w:qFormat/>
    <w:uiPriority w:val="0"/>
    <w:pPr>
      <w:widowControl/>
      <w:spacing w:before="100" w:beforeAutospacing="1" w:after="100" w:afterAutospacing="1" w:line="240" w:lineRule="auto"/>
    </w:pPr>
    <w:rPr>
      <w:rFonts w:ascii="Calibri" w:hAnsi="NEU-BZ" w:eastAsia="宋体" w:cs="Times New Roman"/>
      <w:kern w:val="0"/>
      <w:sz w:val="24"/>
      <w:szCs w:val="22"/>
    </w:rPr>
  </w:style>
  <w:style w:type="paragraph" w:styleId="7">
    <w:name w:val="annotation subject"/>
    <w:basedOn w:val="3"/>
    <w:next w:val="3"/>
    <w:link w:val="17"/>
    <w:unhideWhenUsed/>
    <w:qFormat/>
    <w:uiPriority w:val="99"/>
    <w:rPr>
      <w:b/>
      <w:bCs/>
    </w:rPr>
  </w:style>
  <w:style w:type="table" w:styleId="9">
    <w:name w:val="Table Grid"/>
    <w:basedOn w:val="8"/>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unhideWhenUsed/>
    <w:qFormat/>
    <w:uiPriority w:val="99"/>
    <w:rPr>
      <w:color w:val="0563C1"/>
      <w:u w:val="single"/>
    </w:rPr>
  </w:style>
  <w:style w:type="character" w:styleId="12">
    <w:name w:val="annotation reference"/>
    <w:unhideWhenUsed/>
    <w:qFormat/>
    <w:uiPriority w:val="99"/>
    <w:rPr>
      <w:sz w:val="21"/>
      <w:szCs w:val="21"/>
    </w:rPr>
  </w:style>
  <w:style w:type="character" w:customStyle="1" w:styleId="13">
    <w:name w:val="标题 2 字符"/>
    <w:link w:val="2"/>
    <w:qFormat/>
    <w:uiPriority w:val="0"/>
    <w:rPr>
      <w:rFonts w:ascii="黑体" w:hAnsi="黑体" w:eastAsia="楷体_GB2312" w:cs="Times New Roman"/>
      <w:bCs/>
      <w:kern w:val="0"/>
      <w:sz w:val="32"/>
      <w:szCs w:val="32"/>
    </w:rPr>
  </w:style>
  <w:style w:type="character" w:customStyle="1" w:styleId="14">
    <w:name w:val="批注文字 字符"/>
    <w:link w:val="3"/>
    <w:qFormat/>
    <w:uiPriority w:val="99"/>
  </w:style>
  <w:style w:type="character" w:customStyle="1" w:styleId="15">
    <w:name w:val="页脚 字符"/>
    <w:link w:val="4"/>
    <w:qFormat/>
    <w:uiPriority w:val="99"/>
    <w:rPr>
      <w:sz w:val="18"/>
      <w:szCs w:val="18"/>
    </w:rPr>
  </w:style>
  <w:style w:type="character" w:customStyle="1" w:styleId="16">
    <w:name w:val="页眉 字符"/>
    <w:link w:val="5"/>
    <w:qFormat/>
    <w:uiPriority w:val="99"/>
    <w:rPr>
      <w:sz w:val="18"/>
      <w:szCs w:val="18"/>
    </w:rPr>
  </w:style>
  <w:style w:type="character" w:customStyle="1" w:styleId="17">
    <w:name w:val="批注主题 字符"/>
    <w:link w:val="7"/>
    <w:semiHidden/>
    <w:qFormat/>
    <w:uiPriority w:val="99"/>
    <w:rPr>
      <w:b/>
      <w:bCs/>
    </w:rPr>
  </w:style>
  <w:style w:type="paragraph" w:styleId="18">
    <w:name w:val="List Paragraph"/>
    <w:basedOn w:val="1"/>
    <w:qFormat/>
    <w:uiPriority w:val="34"/>
    <w:pPr>
      <w:spacing w:after="0" w:line="240" w:lineRule="auto"/>
      <w:ind w:firstLine="420" w:firstLineChars="200"/>
      <w:jc w:val="both"/>
    </w:pPr>
    <w:rPr>
      <w:rFonts w:eastAsia="仿宋"/>
      <w:sz w:val="24"/>
      <w:szCs w:val="22"/>
    </w:rPr>
  </w:style>
  <w:style w:type="paragraph" w:customStyle="1" w:styleId="19">
    <w:name w:val="p"/>
    <w:basedOn w:val="1"/>
    <w:qFormat/>
    <w:uiPriority w:val="0"/>
    <w:pPr>
      <w:widowControl/>
      <w:suppressAutoHyphens/>
      <w:spacing w:after="0" w:line="390" w:lineRule="atLeast"/>
      <w:ind w:firstLine="420"/>
      <w:textAlignment w:val="center"/>
    </w:pPr>
    <w:rPr>
      <w:rFonts w:ascii="Times New Roman" w:hAnsi="Times New Roman" w:eastAsia="等线;DengXian" w:cs="Times New Roman"/>
      <w:kern w:val="0"/>
      <w:sz w:val="24"/>
    </w:rPr>
  </w:style>
  <w:style w:type="paragraph" w:customStyle="1" w:styleId="20">
    <w:name w:val="Table Text"/>
    <w:semiHidden/>
    <w:qFormat/>
    <w:uiPriority w:val="0"/>
    <w:pPr>
      <w:widowControl w:val="0"/>
      <w:spacing w:line="300" w:lineRule="exact"/>
      <w:ind w:left="11" w:right="105" w:rightChars="50" w:hanging="11"/>
      <w:jc w:val="both"/>
    </w:pPr>
    <w:rPr>
      <w:rFonts w:ascii="宋体" w:hAnsi="宋体" w:eastAsia="宋体" w:cs="宋体"/>
      <w:lang w:val="en-US" w:eastAsia="zh-CN" w:bidi="ar-SA"/>
    </w:rPr>
  </w:style>
  <w:style w:type="table" w:customStyle="1" w:styleId="21">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22">
    <w:name w:val="biao"/>
    <w:basedOn w:val="1"/>
    <w:uiPriority w:val="0"/>
    <w:pPr>
      <w:widowControl/>
      <w:spacing w:after="0" w:line="820" w:lineRule="atLeast"/>
      <w:jc w:val="center"/>
    </w:pPr>
    <w:rPr>
      <w:rFonts w:ascii="Times New Roman" w:hAnsi="Times New Roman" w:eastAsia="等线" w:cs="Times New Roman"/>
      <w:kern w:val="0"/>
      <w:sz w:val="32"/>
      <w:szCs w:val="32"/>
    </w:rPr>
  </w:style>
  <w:style w:type="character" w:customStyle="1" w:styleId="23">
    <w:name w:val="biao_contentlink"/>
    <w:qFormat/>
    <w:uiPriority w:val="0"/>
    <w:rPr>
      <w:color w:val="232323"/>
      <w:sz w:val="32"/>
      <w:szCs w:val="32"/>
    </w:rPr>
  </w:style>
  <w:style w:type="character" w:customStyle="1" w:styleId="24">
    <w:name w:val="Unresolved Mention"/>
    <w:unhideWhenUsed/>
    <w:qFormat/>
    <w:uiPriority w:val="99"/>
    <w:rPr>
      <w:color w:val="605E5C"/>
      <w:shd w:val="clear" w:color="auto" w:fill="E1DFDD"/>
    </w:rPr>
  </w:style>
  <w:style w:type="paragraph" w:customStyle="1" w:styleId="25">
    <w:name w:val="Revision"/>
    <w:semiHidden/>
    <w:qFormat/>
    <w:uiPriority w:val="99"/>
    <w:rPr>
      <w:rFonts w:ascii="等线" w:hAnsi="等线" w:eastAsia="等线" w:cs="Times New Roman"/>
      <w:kern w:val="2"/>
      <w:sz w:val="22"/>
      <w:szCs w:val="24"/>
      <w:lang w:val="en-US" w:eastAsia="zh-CN" w:bidi="ar-SA"/>
    </w:rPr>
  </w:style>
  <w:style w:type="paragraph" w:customStyle="1" w:styleId="26">
    <w:name w:val="_Style 25"/>
    <w:unhideWhenUsed/>
    <w:qFormat/>
    <w:uiPriority w:val="99"/>
    <w:rPr>
      <w:rFonts w:ascii="等线" w:hAnsi="等线" w:eastAsia="等线" w:cs="Times New Roman"/>
      <w:kern w:val="2"/>
      <w:sz w:val="22"/>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45</Pages>
  <Words>2292</Words>
  <Characters>2327</Characters>
  <Lines>2048</Lines>
  <Paragraphs>2348</Paragraphs>
  <TotalTime>1</TotalTime>
  <ScaleCrop>false</ScaleCrop>
  <LinksUpToDate>false</LinksUpToDate>
  <CharactersWithSpaces>2339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2026-10-27T10:36:00Z</dcterms:created>
  <dc:creator>凡子</dc:creator>
  <cp:lastModifiedBy>M</cp:lastModifiedBy>
  <dcterms:modified xsi:type="dcterms:W3CDTF">2026-10-29T08:55:45Z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eyJoZGlkIjoiNTBmMTIzZmNiNjE2ZmNkNTIwYzVlZTQ0ZmRkNTdjYzYiLCJ1c2VySWQiOiI0MjU2NDUzNDUifQ==</vt:lpwstr>
  </property>
  <property fmtid="{D5CDD505-2E9C-101B-9397-08002B2CF9AE}" pid="3" name="KSOProductBuildVer">
    <vt:lpwstr>2052-12.1.0.28505</vt:lpwstr>
  </property>
  <property fmtid="{D5CDD505-2E9C-101B-9397-08002B2CF9AE}" pid="4" name="ICV">
    <vt:lpwstr>8AF842FABB4646C5BF5E432164F6CC64_13</vt:lpwstr>
  </property>
</Properties>
</file>