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06847">
      <w:pPr>
        <w:pStyle w:val="2"/>
        <w:rPr>
          <w:rFonts w:ascii="Times New Roman" w:hAnsi="Times New Roman"/>
          <w:color w:val="000000"/>
        </w:rPr>
      </w:pPr>
    </w:p>
    <w:p w14:paraId="26A66060">
      <w:pPr>
        <w:spacing w:line="560" w:lineRule="exact"/>
        <w:jc w:val="center"/>
        <w:rPr>
          <w:rFonts w:hint="eastAsia" w:ascii="Times New Roman" w:hAnsi="Times New Roman" w:eastAsia="方正小标宋简体" w:cs="方正小标宋简体"/>
          <w:color w:val="000000"/>
          <w:sz w:val="44"/>
          <w:szCs w:val="44"/>
        </w:rPr>
      </w:pPr>
      <w:bookmarkStart w:id="0" w:name="_Toc26686"/>
      <w:bookmarkStart w:id="1" w:name="_Toc24691"/>
      <w:bookmarkStart w:id="2" w:name="_Toc28423"/>
      <w:bookmarkStart w:id="3" w:name="_Toc30488"/>
      <w:bookmarkStart w:id="4" w:name="_Toc24242"/>
      <w:r>
        <w:rPr>
          <w:rFonts w:hint="eastAsia" w:ascii="Times New Roman" w:hAnsi="Times New Roman" w:eastAsia="方正小标宋简体" w:cs="方正小标宋简体"/>
          <w:color w:val="000000"/>
          <w:sz w:val="44"/>
          <w:szCs w:val="44"/>
        </w:rPr>
        <w:t>昆明市生态环境行政处罚裁量权规则</w:t>
      </w:r>
    </w:p>
    <w:p w14:paraId="5E22BCB4">
      <w:pPr>
        <w:spacing w:line="560" w:lineRule="exact"/>
        <w:jc w:val="center"/>
        <w:rPr>
          <w:rFonts w:hint="eastAsia" w:ascii="Times New Roman" w:hAnsi="Times New Roman" w:eastAsia="黑体" w:cs="黑体"/>
          <w:color w:val="000000"/>
          <w:sz w:val="44"/>
          <w:szCs w:val="44"/>
        </w:rPr>
      </w:pPr>
      <w:r>
        <w:rPr>
          <w:rFonts w:hint="eastAsia" w:ascii="Times New Roman" w:hAnsi="Times New Roman" w:eastAsia="方正小标宋简体" w:cs="方正小标宋简体"/>
          <w:color w:val="000000"/>
          <w:sz w:val="44"/>
          <w:szCs w:val="44"/>
        </w:rPr>
        <w:t>和基准实施细则</w:t>
      </w:r>
      <w:r>
        <w:rPr>
          <w:rFonts w:hint="eastAsia" w:ascii="Times New Roman" w:hAnsi="Times New Roman" w:eastAsia="黑体" w:cs="黑体"/>
          <w:color w:val="000000"/>
          <w:sz w:val="44"/>
          <w:szCs w:val="44"/>
        </w:rPr>
        <w:t>（2026年版）</w:t>
      </w:r>
    </w:p>
    <w:p w14:paraId="06256427">
      <w:pPr>
        <w:spacing w:line="560" w:lineRule="exact"/>
        <w:jc w:val="center"/>
        <w:rPr>
          <w:rFonts w:hint="eastAsia" w:ascii="Times New Roman" w:hAnsi="Times New Roman" w:eastAsia="黑体" w:cs="黑体"/>
          <w:color w:val="000000"/>
          <w:sz w:val="32"/>
          <w:szCs w:val="32"/>
          <w:lang w:eastAsia="zh-CN"/>
        </w:rPr>
      </w:pPr>
      <w:r>
        <w:rPr>
          <w:rFonts w:hint="eastAsia" w:ascii="Times New Roman" w:hAnsi="Times New Roman" w:eastAsia="黑体" w:cs="黑体"/>
          <w:color w:val="000000"/>
          <w:sz w:val="32"/>
          <w:szCs w:val="32"/>
          <w:lang w:eastAsia="zh-CN"/>
        </w:rPr>
        <w:t>（征求意见稿）</w:t>
      </w:r>
      <w:bookmarkStart w:id="7" w:name="_GoBack"/>
      <w:bookmarkEnd w:id="7"/>
    </w:p>
    <w:p w14:paraId="56A222F6">
      <w:pPr>
        <w:pStyle w:val="7"/>
        <w:rPr>
          <w:rFonts w:hint="eastAsia" w:ascii="Times New Roman" w:hAnsi="Times New Roman" w:eastAsia="仿宋_GB2312" w:cs="仿宋_GB2312"/>
          <w:color w:val="000000"/>
          <w:sz w:val="32"/>
          <w:szCs w:val="32"/>
        </w:rPr>
      </w:pPr>
    </w:p>
    <w:p w14:paraId="02C39324">
      <w:pPr>
        <w:spacing w:beforeLines="0" w:afterLines="0" w:line="570" w:lineRule="exact"/>
        <w:ind w:firstLine="640" w:firstLineChars="200"/>
        <w:rPr>
          <w:rFonts w:hint="eastAsia" w:ascii="Times New Roman" w:hAnsi="Times New Roman" w:eastAsia="仿宋_GB2312" w:cs="仿宋_GB2312"/>
          <w:bCs/>
          <w:color w:val="000000"/>
          <w:kern w:val="2"/>
          <w:sz w:val="32"/>
          <w:szCs w:val="32"/>
        </w:rPr>
      </w:pPr>
      <w:r>
        <w:rPr>
          <w:rFonts w:hint="eastAsia" w:ascii="Times New Roman" w:hAnsi="Times New Roman" w:eastAsia="黑体" w:cs="黑体"/>
          <w:color w:val="000000"/>
          <w:sz w:val="32"/>
          <w:szCs w:val="32"/>
        </w:rPr>
        <w:t>第一条</w:t>
      </w:r>
      <w:r>
        <w:rPr>
          <w:rFonts w:hint="eastAsia" w:ascii="Times New Roman" w:hAnsi="Times New Roman" w:eastAsia="仿宋_GB2312" w:cs="仿宋_GB2312"/>
          <w:color w:val="000000"/>
          <w:sz w:val="32"/>
          <w:szCs w:val="32"/>
        </w:rPr>
        <w:t>【目的意义】为进一步规范生态环境行政处罚行为，推进严格规范公正文明执法</w:t>
      </w:r>
      <w:r>
        <w:rPr>
          <w:rFonts w:hint="eastAsia" w:ascii="Times New Roman" w:hAnsi="Times New Roman" w:eastAsia="仿宋_GB2312" w:cs="仿宋_GB2312"/>
          <w:b w:val="0"/>
          <w:bCs w:val="0"/>
          <w:color w:val="000000"/>
          <w:sz w:val="32"/>
          <w:szCs w:val="32"/>
        </w:rPr>
        <w:t>，根据</w:t>
      </w:r>
      <w:r>
        <w:rPr>
          <w:rFonts w:hint="eastAsia" w:ascii="Times New Roman" w:hAnsi="Times New Roman" w:eastAsia="仿宋_GB2312" w:cs="仿宋_GB2312"/>
          <w:b w:val="0"/>
          <w:bCs w:val="0"/>
          <w:sz w:val="32"/>
          <w:szCs w:val="32"/>
        </w:rPr>
        <w:t>《中华人民共和国生态环境法典》</w:t>
      </w:r>
      <w:r>
        <w:rPr>
          <w:rFonts w:hint="eastAsia" w:ascii="Times New Roman" w:hAnsi="Times New Roman" w:eastAsia="仿宋_GB2312" w:cs="仿宋_GB2312"/>
          <w:b w:val="0"/>
          <w:bCs w:val="0"/>
          <w:color w:val="000000"/>
          <w:sz w:val="32"/>
          <w:szCs w:val="32"/>
        </w:rPr>
        <w:t>《中华人民共和国行政处罚法》《生态环境行政处罚办法》</w:t>
      </w:r>
      <w:bookmarkStart w:id="5" w:name="OLE_LINK13"/>
      <w:r>
        <w:rPr>
          <w:rFonts w:hint="eastAsia" w:ascii="Times New Roman" w:hAnsi="Times New Roman" w:eastAsia="方正仿宋_GBK" w:cs="Times New Roman"/>
          <w:sz w:val="32"/>
          <w:szCs w:val="32"/>
          <w:highlight w:val="none"/>
          <w:lang w:eastAsia="zh-CN"/>
        </w:rPr>
        <w:t>《云南省创建生态文明建设排头兵促进条例》《云南省行政执法程序规定》</w:t>
      </w:r>
      <w:r>
        <w:rPr>
          <w:rFonts w:hint="eastAsia" w:ascii="Times New Roman" w:hAnsi="Times New Roman" w:eastAsia="仿宋_GB2312" w:cs="仿宋_GB2312"/>
          <w:b w:val="0"/>
          <w:bCs w:val="0"/>
          <w:color w:val="000000"/>
          <w:sz w:val="32"/>
          <w:szCs w:val="32"/>
          <w:lang w:eastAsia="zh-CN"/>
        </w:rPr>
        <w:t>、</w:t>
      </w:r>
      <w:r>
        <w:rPr>
          <w:rFonts w:hint="eastAsia" w:ascii="Times New Roman" w:hAnsi="Times New Roman" w:eastAsia="仿宋_GB2312" w:cs="仿宋_GB2312"/>
          <w:b w:val="0"/>
          <w:bCs w:val="0"/>
          <w:sz w:val="32"/>
          <w:szCs w:val="32"/>
        </w:rPr>
        <w:t>国务院办公厅《关于进一步规范行政裁量权基准制定和管理工作的意见》</w:t>
      </w:r>
      <w:bookmarkEnd w:id="5"/>
      <w:r>
        <w:rPr>
          <w:rFonts w:hint="eastAsia" w:ascii="Times New Roman" w:hAnsi="Times New Roman" w:eastAsia="仿宋_GB2312" w:cs="仿宋_GB2312"/>
          <w:b w:val="0"/>
          <w:bCs w:val="0"/>
          <w:sz w:val="32"/>
          <w:szCs w:val="32"/>
        </w:rPr>
        <w:t>、生态环境部</w:t>
      </w:r>
      <w:r>
        <w:rPr>
          <w:rFonts w:hint="eastAsia" w:ascii="Times New Roman" w:hAnsi="Times New Roman" w:eastAsia="仿宋_GB2312" w:cs="仿宋_GB2312"/>
          <w:b w:val="0"/>
          <w:bCs w:val="0"/>
          <w:color w:val="000000"/>
          <w:sz w:val="32"/>
          <w:szCs w:val="32"/>
        </w:rPr>
        <w:t>《关于进一步规范适用环境行政处罚自由裁量权的指导意见》</w:t>
      </w:r>
      <w:r>
        <w:rPr>
          <w:rFonts w:hint="eastAsia" w:ascii="Times New Roman" w:hAnsi="Times New Roman" w:eastAsia="仿宋_GB2312" w:cs="仿宋_GB2312"/>
          <w:b w:val="0"/>
          <w:bCs w:val="0"/>
          <w:color w:val="000000"/>
          <w:sz w:val="32"/>
          <w:szCs w:val="32"/>
          <w:lang w:eastAsia="zh-CN"/>
        </w:rPr>
        <w:t>、</w:t>
      </w:r>
      <w:r>
        <w:rPr>
          <w:rFonts w:hint="eastAsia" w:ascii="Times New Roman" w:hAnsi="Times New Roman" w:eastAsia="仿宋_GB2312" w:cs="仿宋_GB2312"/>
          <w:b w:val="0"/>
          <w:bCs w:val="0"/>
          <w:color w:val="000000"/>
          <w:sz w:val="32"/>
          <w:szCs w:val="32"/>
        </w:rPr>
        <w:t>《云南省生态环境行政处罚裁量权规则和基准规定（2026年版）》等规定，结合</w:t>
      </w:r>
      <w:r>
        <w:rPr>
          <w:rFonts w:hint="eastAsia" w:ascii="Times New Roman" w:hAnsi="Times New Roman" w:eastAsia="仿宋_GB2312" w:cs="仿宋_GB2312"/>
          <w:color w:val="000000"/>
          <w:sz w:val="32"/>
          <w:szCs w:val="32"/>
        </w:rPr>
        <w:t>本市实际，制定本实施细则。</w:t>
      </w:r>
    </w:p>
    <w:p w14:paraId="02A3529C">
      <w:pPr>
        <w:pStyle w:val="30"/>
        <w:topLinePunct/>
        <w:spacing w:before="0" w:beforeLines="0" w:after="0" w:afterLines="0" w:line="570" w:lineRule="exact"/>
        <w:ind w:left="12" w:firstLine="640" w:firstLineChars="200"/>
        <w:jc w:val="both"/>
        <w:textAlignment w:val="top"/>
        <w:rPr>
          <w:rFonts w:hint="eastAsia" w:ascii="Times New Roman" w:hAnsi="Times New Roman" w:eastAsia="仿宋_GB2312" w:cs="仿宋_GB2312"/>
          <w:color w:val="auto"/>
          <w:sz w:val="32"/>
          <w:szCs w:val="32"/>
        </w:rPr>
      </w:pPr>
      <w:r>
        <w:rPr>
          <w:rFonts w:hint="eastAsia" w:ascii="Times New Roman" w:hAnsi="Times New Roman" w:eastAsia="黑体" w:cs="黑体"/>
          <w:sz w:val="32"/>
          <w:szCs w:val="32"/>
        </w:rPr>
        <w:t>第二条</w:t>
      </w:r>
      <w:r>
        <w:rPr>
          <w:rFonts w:hint="eastAsia" w:ascii="Times New Roman" w:hAnsi="Times New Roman" w:eastAsia="仿宋_GB2312" w:cs="仿宋_GB2312"/>
          <w:sz w:val="32"/>
          <w:szCs w:val="32"/>
        </w:rPr>
        <w:t>【适用】本细则适用于昆明市生态环境领域行政处罚行为。《云南省生态环境行政处罚裁量权规则和基准规定（2026</w:t>
      </w:r>
      <w:r>
        <w:rPr>
          <w:rFonts w:hint="eastAsia" w:ascii="Times New Roman" w:hAnsi="Times New Roman" w:eastAsia="仿宋_GB2312" w:cs="仿宋_GB2312"/>
          <w:color w:val="auto"/>
          <w:sz w:val="32"/>
          <w:szCs w:val="32"/>
        </w:rPr>
        <w:t>年版）》及其相关附件（以下统称《省规定》）已有规定的，适用《省规定》；本细则及附件对《省规定》未作细化、量化的事项作出补充规定的，参照本细则及附件执行；《省规定》未作规定</w:t>
      </w:r>
      <w:r>
        <w:rPr>
          <w:rFonts w:hint="eastAsia" w:ascii="Times New Roman" w:hAnsi="Times New Roman" w:eastAsia="仿宋_GB2312" w:cs="仿宋_GB2312"/>
          <w:color w:val="auto"/>
          <w:sz w:val="32"/>
          <w:szCs w:val="32"/>
          <w:lang w:val="en-US" w:eastAsia="zh-CN"/>
        </w:rPr>
        <w:t>但本细则和附件</w:t>
      </w:r>
      <w:r>
        <w:rPr>
          <w:rFonts w:hint="eastAsia" w:ascii="Times New Roman" w:hAnsi="Times New Roman" w:eastAsia="仿宋_GB2312" w:cs="仿宋_GB2312"/>
          <w:color w:val="auto"/>
          <w:sz w:val="32"/>
          <w:szCs w:val="32"/>
        </w:rPr>
        <w:t>有</w:t>
      </w:r>
      <w:r>
        <w:rPr>
          <w:rFonts w:hint="eastAsia" w:ascii="Times New Roman" w:hAnsi="Times New Roman" w:eastAsia="仿宋_GB2312" w:cs="仿宋_GB2312"/>
          <w:color w:val="auto"/>
          <w:sz w:val="32"/>
          <w:szCs w:val="32"/>
          <w:lang w:val="en-US" w:eastAsia="zh-CN"/>
        </w:rPr>
        <w:t>规定的</w:t>
      </w:r>
      <w:r>
        <w:rPr>
          <w:rFonts w:hint="eastAsia" w:ascii="Times New Roman" w:hAnsi="Times New Roman" w:eastAsia="仿宋_GB2312" w:cs="仿宋_GB2312"/>
          <w:color w:val="auto"/>
          <w:sz w:val="32"/>
          <w:szCs w:val="32"/>
        </w:rPr>
        <w:t>，适用本细则及附件。</w:t>
      </w:r>
    </w:p>
    <w:p w14:paraId="5FA641BA">
      <w:pPr>
        <w:pStyle w:val="30"/>
        <w:topLinePunct/>
        <w:adjustRightInd/>
        <w:snapToGrid/>
        <w:spacing w:before="0" w:beforeLines="0" w:after="0" w:afterLines="0" w:line="570" w:lineRule="exact"/>
        <w:ind w:left="12" w:firstLine="640" w:firstLineChars="200"/>
        <w:jc w:val="both"/>
        <w:textAlignment w:val="top"/>
        <w:rPr>
          <w:rFonts w:hint="eastAsia" w:ascii="Times New Roman" w:hAnsi="Times New Roman" w:eastAsia="仿宋_GB2312" w:cs="仿宋_GB2312"/>
          <w:sz w:val="32"/>
          <w:szCs w:val="32"/>
        </w:rPr>
      </w:pPr>
      <w:r>
        <w:rPr>
          <w:rFonts w:hint="eastAsia" w:ascii="Times New Roman" w:hAnsi="Times New Roman" w:eastAsia="仿宋_GB2312" w:cs="仿宋_GB2312"/>
          <w:color w:val="auto"/>
          <w:sz w:val="32"/>
          <w:szCs w:val="32"/>
        </w:rPr>
        <w:t>本细则及附件施行前已经立案、尚未作出处罚决定的案件，适用行为发生时的相关裁量权规定，但适用本细</w:t>
      </w:r>
      <w:r>
        <w:rPr>
          <w:rFonts w:hint="eastAsia" w:ascii="Times New Roman" w:hAnsi="Times New Roman" w:eastAsia="仿宋_GB2312" w:cs="仿宋_GB2312"/>
          <w:sz w:val="32"/>
          <w:szCs w:val="32"/>
        </w:rPr>
        <w:t>则及附件裁量后处罚较轻的，适用本细则及附件；本细则及附件施行后发生的行为，适用本细则及附件。</w:t>
      </w:r>
    </w:p>
    <w:p w14:paraId="569B2B49">
      <w:pPr>
        <w:pStyle w:val="30"/>
        <w:adjustRightInd/>
        <w:snapToGrid/>
        <w:spacing w:before="0" w:beforeLines="0" w:after="0" w:afterLines="0" w:line="570" w:lineRule="exact"/>
        <w:ind w:left="6" w:firstLine="640" w:firstLineChars="200"/>
        <w:jc w:val="both"/>
        <w:rPr>
          <w:rFonts w:hint="eastAsia" w:ascii="Times New Roman" w:hAnsi="Times New Roman" w:eastAsia="仿宋_GB2312" w:cs="仿宋_GB2312"/>
          <w:sz w:val="32"/>
          <w:szCs w:val="32"/>
        </w:rPr>
      </w:pPr>
      <w:r>
        <w:rPr>
          <w:rFonts w:hint="eastAsia" w:ascii="Times New Roman" w:hAnsi="Times New Roman" w:eastAsia="黑体" w:cs="黑体"/>
          <w:sz w:val="32"/>
          <w:szCs w:val="32"/>
        </w:rPr>
        <w:t>第三条</w:t>
      </w:r>
      <w:r>
        <w:rPr>
          <w:rFonts w:hint="eastAsia" w:ascii="Times New Roman" w:hAnsi="Times New Roman" w:eastAsia="仿宋_GB2312" w:cs="仿宋_GB2312"/>
          <w:sz w:val="32"/>
          <w:szCs w:val="32"/>
        </w:rPr>
        <w:t>【基本原则】行使生态环境行政处罚裁量权，应当遵循以下基本原则：</w:t>
      </w:r>
    </w:p>
    <w:p w14:paraId="2C4CE38B">
      <w:pPr>
        <w:pStyle w:val="30"/>
        <w:adjustRightInd/>
        <w:snapToGrid/>
        <w:spacing w:before="0" w:beforeLines="0" w:after="0" w:afterLines="0" w:line="570" w:lineRule="exact"/>
        <w:ind w:left="6"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（一）合法原则。生态环境部门应当在法律、法规、单行条例、规章确定的裁量条件、种类、范围、幅度内行使行政处罚裁量权。</w:t>
      </w:r>
    </w:p>
    <w:p w14:paraId="74235F48">
      <w:pPr>
        <w:widowControl w:val="0"/>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（二）合理原则。应当充分考虑、全面衡量地区经济社会发展状况、执法对象情况、危害后果等相关因素，所采取的措施和手段应当必要、适当。</w:t>
      </w:r>
    </w:p>
    <w:p w14:paraId="6D1508BA">
      <w:pPr>
        <w:widowControl w:val="0"/>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（三）过罚相当原则。必须以事实为依据，处罚种类和幅度应当与当事人违法过错程度相适应，与环境违法行为的性质、情节以及社会危害程度相当。</w:t>
      </w:r>
    </w:p>
    <w:p w14:paraId="4A647525">
      <w:pPr>
        <w:widowControl w:val="0"/>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四）公开公平公正原则。应当向社会公开裁量标准，向当事人告知裁量所基于的事实、理由、依据等内容；应当平等对待行政管理相对人，公平、公正实施处罚，对事实、性质、情节、后果类似的情况应当给予大致相同的处罚。</w:t>
      </w:r>
    </w:p>
    <w:p w14:paraId="35365456">
      <w:pPr>
        <w:widowControl w:val="0"/>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（五）处罚和教育相结合原则。应当注重加强对违法当事人的说服教育，促进公民、法人和其他组织自觉守法，实现执法效果与社会效果的统一。</w:t>
      </w:r>
    </w:p>
    <w:p w14:paraId="39F461FF">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黑体" w:cs="黑体"/>
          <w:color w:val="000000"/>
          <w:sz w:val="32"/>
          <w:szCs w:val="32"/>
        </w:rPr>
        <w:t>第四条</w:t>
      </w:r>
      <w:r>
        <w:rPr>
          <w:rFonts w:hint="eastAsia" w:ascii="Times New Roman" w:hAnsi="Times New Roman" w:eastAsia="仿宋_GB2312" w:cs="仿宋_GB2312"/>
          <w:color w:val="000000"/>
          <w:sz w:val="32"/>
          <w:szCs w:val="32"/>
        </w:rPr>
        <w:t>【裁量方式和金额计算】本细则根据违法行为构成要素和违法情节设定若干裁量因子，并确定各项裁量因子的分值，根据现行法律法规规章设置昆明市生态环境行政处罚裁量权基准表，采用裁量模型函数公式计算。</w:t>
      </w:r>
    </w:p>
    <w:p w14:paraId="74333F29">
      <w:pPr>
        <w:widowControl w:val="0"/>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（一）裁量方式</w:t>
      </w:r>
    </w:p>
    <w:p w14:paraId="7D8BCB66">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1.综合考虑生态环境违法事实、性质、情节、后果，确定个性基准、共性基准、修正基准和生态环境分区管控裁量系数数值。个性基准因子数值中，1代表轻微，2代表一般，3代表较重，4代表严重，5代表特别严重。共性基准因子数值1—5代表生态环境违法行为次数、区域影响（引发关注）从轻微到严重的不同程度。修正基准因子数值-2—2代表改正态度、配合调查取证情况、补救措施等可予从轻或者从重的不同情形。生态环境分区管控裁量系数数值0.1—1代表生态环境违法行为所处的生态环境管控单元的敏感程度。</w:t>
      </w:r>
    </w:p>
    <w:p w14:paraId="3B23AA5A">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2.对照相关项的子个性基准与子共性基准，叠加出总个性基准与总共性基准的数值；将总个性基准与总共性基准代入裁量模型函数公式，计算得出与违法行为情节、后果相匹配的处罚金额。</w:t>
      </w:r>
    </w:p>
    <w:p w14:paraId="135B1541">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3.根据修正基准数值，对处罚金额在限定范围内进行修正，得出修正处罚金额。修正后的裁量处罚金额不得超出法定的裁量范围。</w:t>
      </w:r>
    </w:p>
    <w:p w14:paraId="43B9F8BA">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4.生态环境分区管控裁量系数是基于全域覆盖的生态环境分区管控体系，综合考虑生态环境结构、功能、质量等因素确定的生态环境管控单元，对不同生态环境管控单元中的生态环境违法行为实施分类行政处罚的裁量因子。</w:t>
      </w:r>
    </w:p>
    <w:p w14:paraId="0B04BE13">
      <w:pPr>
        <w:widowControl w:val="0"/>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（二）裁量处罚金额计算</w:t>
      </w:r>
    </w:p>
    <w:p w14:paraId="2A42B274">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1.总公式</w:t>
      </w:r>
    </w:p>
    <w:p w14:paraId="3D90C89F">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X=N+（M-N）×</w:t>
      </w:r>
      <w:r>
        <w:rPr>
          <w:rFonts w:hint="eastAsia" w:ascii="Times New Roman" w:hAnsi="Times New Roman" w:eastAsia="仿宋_GB2312" w:cs="仿宋_GB2312"/>
          <w:color w:val="000000"/>
          <w:spacing w:val="-5"/>
          <w:sz w:val="32"/>
          <w:szCs w:val="32"/>
        </w:rPr>
        <w:t>〔</w:t>
      </w:r>
      <w:r>
        <w:rPr>
          <w:rFonts w:hint="eastAsia" w:ascii="Times New Roman" w:hAnsi="Times New Roman" w:eastAsia="仿宋_GB2312" w:cs="仿宋_GB2312"/>
          <w:color w:val="000000"/>
          <w:kern w:val="2"/>
          <w:sz w:val="32"/>
          <w:szCs w:val="32"/>
        </w:rPr>
        <w:t>（A-1）/4</w:t>
      </w:r>
      <w:r>
        <w:rPr>
          <w:rFonts w:hint="eastAsia" w:ascii="Times New Roman" w:hAnsi="Times New Roman" w:eastAsia="仿宋_GB2312" w:cs="仿宋_GB2312"/>
          <w:color w:val="000000"/>
          <w:spacing w:val="-5"/>
          <w:sz w:val="32"/>
          <w:szCs w:val="32"/>
        </w:rPr>
        <w:t>〕</w:t>
      </w:r>
      <w:r>
        <w:rPr>
          <w:rFonts w:hint="eastAsia" w:ascii="Times New Roman" w:hAnsi="Times New Roman" w:eastAsia="仿宋_GB2312" w:cs="仿宋_GB2312"/>
          <w:color w:val="000000"/>
          <w:sz w:val="32"/>
          <w:szCs w:val="32"/>
        </w:rPr>
        <w:t>×（0.5+B）×C</w:t>
      </w:r>
    </w:p>
    <w:p w14:paraId="118A346D">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金额=处罚下限+（处罚上限-下限）×裁量×修正×生态环境分区管控裁量系数</w:t>
      </w:r>
    </w:p>
    <w:p w14:paraId="62D89D2C">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X：裁量处罚金额</w:t>
      </w:r>
    </w:p>
    <w:p w14:paraId="1E15B177">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M：法定处罚上限</w:t>
      </w:r>
    </w:p>
    <w:p w14:paraId="0FE3B9A6">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N：法定处罚下限</w:t>
      </w:r>
    </w:p>
    <w:p w14:paraId="6912041C">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A：裁量系数</w:t>
      </w:r>
    </w:p>
    <w:p w14:paraId="29B584AB">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B：修正系数</w:t>
      </w:r>
    </w:p>
    <w:p w14:paraId="17B127B6">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C：生态环境分区管控裁量系数</w:t>
      </w:r>
    </w:p>
    <w:p w14:paraId="4358297E">
      <w:pPr>
        <w:widowControl w:val="0"/>
        <w:topLinePunct/>
        <w:spacing w:beforeLines="0" w:afterLines="0" w:line="570" w:lineRule="exact"/>
        <w:ind w:firstLine="62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pacing w:val="-5"/>
          <w:sz w:val="32"/>
          <w:szCs w:val="32"/>
        </w:rPr>
        <w:t>〔</w:t>
      </w:r>
      <w:r>
        <w:rPr>
          <w:rFonts w:hint="eastAsia" w:ascii="Times New Roman" w:hAnsi="Times New Roman" w:eastAsia="仿宋_GB2312" w:cs="仿宋_GB2312"/>
          <w:color w:val="000000"/>
          <w:kern w:val="2"/>
          <w:sz w:val="32"/>
          <w:szCs w:val="32"/>
        </w:rPr>
        <w:t>（A-1）/4</w:t>
      </w:r>
      <w:r>
        <w:rPr>
          <w:rFonts w:hint="eastAsia" w:ascii="Times New Roman" w:hAnsi="Times New Roman" w:eastAsia="仿宋_GB2312" w:cs="仿宋_GB2312"/>
          <w:color w:val="000000"/>
          <w:spacing w:val="-5"/>
          <w:sz w:val="32"/>
          <w:szCs w:val="32"/>
        </w:rPr>
        <w:t>〕</w:t>
      </w:r>
      <w:r>
        <w:rPr>
          <w:rFonts w:hint="eastAsia" w:ascii="Times New Roman" w:hAnsi="Times New Roman" w:eastAsia="仿宋_GB2312" w:cs="仿宋_GB2312"/>
          <w:color w:val="000000"/>
          <w:sz w:val="32"/>
          <w:szCs w:val="32"/>
        </w:rPr>
        <w:t>值区间为</w:t>
      </w:r>
      <w:r>
        <w:rPr>
          <w:rFonts w:hint="eastAsia" w:ascii="Times New Roman" w:hAnsi="Times New Roman" w:eastAsia="仿宋_GB2312" w:cs="仿宋_GB2312"/>
          <w:color w:val="000000"/>
          <w:spacing w:val="-5"/>
          <w:sz w:val="32"/>
          <w:szCs w:val="32"/>
        </w:rPr>
        <w:t>[</w:t>
      </w:r>
      <w:r>
        <w:rPr>
          <w:rFonts w:hint="eastAsia" w:ascii="Times New Roman" w:hAnsi="Times New Roman" w:eastAsia="仿宋_GB2312" w:cs="仿宋_GB2312"/>
          <w:color w:val="000000"/>
          <w:kern w:val="2"/>
          <w:sz w:val="32"/>
          <w:szCs w:val="32"/>
        </w:rPr>
        <w:t>0，1</w:t>
      </w:r>
      <w:r>
        <w:rPr>
          <w:rFonts w:hint="eastAsia" w:ascii="Times New Roman" w:hAnsi="Times New Roman" w:eastAsia="仿宋_GB2312" w:cs="仿宋_GB2312"/>
          <w:color w:val="000000"/>
          <w:spacing w:val="-5"/>
          <w:sz w:val="32"/>
          <w:szCs w:val="32"/>
        </w:rPr>
        <w:t>]</w:t>
      </w:r>
    </w:p>
    <w:p w14:paraId="66A250D1">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（0.5+B）值区间为</w:t>
      </w:r>
      <w:r>
        <w:rPr>
          <w:rFonts w:hint="eastAsia" w:ascii="Times New Roman" w:hAnsi="Times New Roman" w:eastAsia="仿宋_GB2312" w:cs="仿宋_GB2312"/>
          <w:color w:val="000000"/>
          <w:spacing w:val="-5"/>
          <w:sz w:val="32"/>
          <w:szCs w:val="32"/>
        </w:rPr>
        <w:t>[</w:t>
      </w:r>
      <w:r>
        <w:rPr>
          <w:rFonts w:hint="eastAsia" w:ascii="Times New Roman" w:hAnsi="Times New Roman" w:eastAsia="仿宋_GB2312" w:cs="仿宋_GB2312"/>
          <w:color w:val="000000"/>
          <w:kern w:val="2"/>
          <w:sz w:val="32"/>
          <w:szCs w:val="32"/>
        </w:rPr>
        <w:t>0，1</w:t>
      </w:r>
      <w:r>
        <w:rPr>
          <w:rFonts w:hint="eastAsia" w:ascii="Times New Roman" w:hAnsi="Times New Roman" w:eastAsia="仿宋_GB2312" w:cs="仿宋_GB2312"/>
          <w:color w:val="000000"/>
          <w:spacing w:val="-5"/>
          <w:sz w:val="32"/>
          <w:szCs w:val="32"/>
        </w:rPr>
        <w:t>]</w:t>
      </w:r>
    </w:p>
    <w:p w14:paraId="10537663">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2.裁量系数计算</w:t>
      </w:r>
    </w:p>
    <w:p w14:paraId="1EA6EC5A">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A=50%×首要因子等级数值+50%×其他裁量因子数值的平均数</w:t>
      </w:r>
    </w:p>
    <w:p w14:paraId="43C299B5">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首要因子等级数值为个性裁量因子、共性裁量因子所有裁量等级中最大的一个。如评级为（5,5,4,4,3），则首要因子等级为5，其他裁量因子数值平均数为（5+4+4+3）/4。</w:t>
      </w:r>
    </w:p>
    <w:p w14:paraId="08A6CC90">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裁量因子仅有一项的，A按该因子的等级数值计算。</w:t>
      </w:r>
    </w:p>
    <w:p w14:paraId="58C5A044">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3.修正系数计算</w:t>
      </w:r>
    </w:p>
    <w:p w14:paraId="7BE2E63F">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B=修正因子数值之和/（所取修正因子个数×2）×50%</w:t>
      </w:r>
    </w:p>
    <w:p w14:paraId="29147207">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4.生态环境分区管控裁量系数确定</w:t>
      </w:r>
    </w:p>
    <w:p w14:paraId="3F36F986">
      <w:pPr>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C值参照生态环境分区管控裁量系数表确定，区间为</w:t>
      </w:r>
      <w:r>
        <w:rPr>
          <w:rFonts w:hint="eastAsia" w:ascii="Times New Roman" w:hAnsi="Times New Roman" w:eastAsia="仿宋_GB2312" w:cs="仿宋_GB2312"/>
          <w:color w:val="000000"/>
          <w:spacing w:val="-5"/>
          <w:sz w:val="32"/>
          <w:szCs w:val="32"/>
        </w:rPr>
        <w:t>[</w:t>
      </w:r>
      <w:r>
        <w:rPr>
          <w:rFonts w:hint="eastAsia" w:ascii="Times New Roman" w:hAnsi="Times New Roman" w:eastAsia="仿宋_GB2312" w:cs="仿宋_GB2312"/>
          <w:color w:val="000000"/>
          <w:sz w:val="32"/>
          <w:szCs w:val="32"/>
        </w:rPr>
        <w:t>0.1，1</w:t>
      </w:r>
      <w:r>
        <w:rPr>
          <w:rFonts w:hint="eastAsia" w:ascii="Times New Roman" w:hAnsi="Times New Roman" w:eastAsia="仿宋_GB2312" w:cs="仿宋_GB2312"/>
          <w:color w:val="000000"/>
          <w:spacing w:val="-5"/>
          <w:sz w:val="32"/>
          <w:szCs w:val="32"/>
        </w:rPr>
        <w:t>]</w:t>
      </w:r>
      <w:r>
        <w:rPr>
          <w:rFonts w:hint="eastAsia" w:ascii="Times New Roman" w:hAnsi="Times New Roman" w:eastAsia="仿宋_GB2312" w:cs="仿宋_GB2312"/>
          <w:color w:val="000000"/>
          <w:sz w:val="32"/>
          <w:szCs w:val="32"/>
        </w:rPr>
        <w:t>。</w:t>
      </w:r>
      <w:r>
        <w:rPr>
          <w:rFonts w:hint="eastAsia" w:ascii="Times New Roman" w:hAnsi="Times New Roman" w:eastAsia="仿宋_GB2312" w:cs="仿宋_GB2312"/>
          <w:sz w:val="32"/>
          <w:szCs w:val="32"/>
        </w:rPr>
        <w:t>生态环境违法行为实施主体同时位于不同类型管控单元时，以涉事点位（排放口、主要排放口、贮存场所或堆存区域等）所在位置确定管控单元类型。对于违反生态环境准入清单规定、擅自在优先保护单元内建设禁止项目的行为，C系数取值为1。</w:t>
      </w:r>
    </w:p>
    <w:p w14:paraId="18891E3A">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5.裁量处罚金额</w:t>
      </w:r>
    </w:p>
    <w:p w14:paraId="491499C4">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修正后的裁量处罚金额超出法定裁量范围的，按法定上限处罚。</w:t>
      </w:r>
    </w:p>
    <w:p w14:paraId="45726B0B">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罚款金额高于一万按“千”取整，低于一万按“百”取整（舍去不足一千或一百的部分）。</w:t>
      </w:r>
    </w:p>
    <w:p w14:paraId="28F806C7">
      <w:pPr>
        <w:widowControl w:val="0"/>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黑体" w:cs="黑体"/>
          <w:color w:val="000000"/>
          <w:sz w:val="32"/>
          <w:szCs w:val="32"/>
        </w:rPr>
        <w:t>第五条</w:t>
      </w:r>
      <w:r>
        <w:rPr>
          <w:rFonts w:hint="eastAsia" w:ascii="Times New Roman" w:hAnsi="Times New Roman" w:eastAsia="仿宋_GB2312" w:cs="仿宋_GB2312"/>
          <w:color w:val="000000"/>
          <w:sz w:val="32"/>
          <w:szCs w:val="32"/>
        </w:rPr>
        <w:t>【不适用裁量因子的特殊情形】本细则的某些裁量因子在办理具体行政处罚案件中不适用或在执法调查中确实无法收集相关裁量因子情节证据的，在裁量时可不适用该裁量因素及裁量因子，但应在案件调查报告中注明。</w:t>
      </w:r>
    </w:p>
    <w:p w14:paraId="56A7844C">
      <w:pPr>
        <w:widowControl w:val="0"/>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黑体" w:cs="黑体"/>
          <w:color w:val="000000"/>
          <w:sz w:val="32"/>
          <w:szCs w:val="32"/>
        </w:rPr>
        <w:t>第六条</w:t>
      </w:r>
      <w:r>
        <w:rPr>
          <w:rFonts w:hint="eastAsia" w:ascii="Times New Roman" w:hAnsi="Times New Roman" w:eastAsia="仿宋_GB2312" w:cs="仿宋_GB2312"/>
          <w:color w:val="000000"/>
          <w:sz w:val="32"/>
          <w:szCs w:val="32"/>
        </w:rPr>
        <w:t>【裁量计算器】昆明市生态环境局将开发行政处罚裁量计算器，供全市生态环境部门参考使用。</w:t>
      </w:r>
    </w:p>
    <w:p w14:paraId="11E0DF7E">
      <w:pPr>
        <w:widowControl w:val="0"/>
        <w:spacing w:beforeLines="0" w:afterLines="0" w:line="570" w:lineRule="exact"/>
        <w:ind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黑体" w:cs="黑体"/>
          <w:color w:val="000000"/>
          <w:sz w:val="32"/>
          <w:szCs w:val="32"/>
        </w:rPr>
        <w:t>第七条</w:t>
      </w:r>
      <w:r>
        <w:rPr>
          <w:rFonts w:hint="eastAsia" w:ascii="Times New Roman" w:hAnsi="Times New Roman" w:eastAsia="仿宋_GB2312" w:cs="仿宋_GB2312"/>
          <w:color w:val="000000"/>
          <w:sz w:val="32"/>
          <w:szCs w:val="32"/>
        </w:rPr>
        <w:t>【从重处罚</w:t>
      </w:r>
      <w:r>
        <w:rPr>
          <w:rFonts w:hint="eastAsia" w:ascii="Times New Roman" w:hAnsi="Times New Roman" w:eastAsia="仿宋_GB2312" w:cs="仿宋_GB2312"/>
          <w:color w:val="000000" w:themeColor="text1"/>
          <w:sz w:val="32"/>
          <w:szCs w:val="32"/>
          <w14:textFill>
            <w14:solidFill>
              <w14:schemeClr w14:val="tx1"/>
            </w14:solidFill>
          </w14:textFill>
        </w:rPr>
        <w:t>】有下列情形之一的，依法从重处罚。</w:t>
      </w:r>
    </w:p>
    <w:p w14:paraId="7852B284">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（一）二年内因同类生态环境违法行为受到二次以上行政处罚，又实施此类行为的。</w:t>
      </w:r>
    </w:p>
    <w:p w14:paraId="08CA9316">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（二）重污染天气预警期间实施超标排放大气污染物等涉气环境违法行为的。</w:t>
      </w:r>
    </w:p>
    <w:p w14:paraId="32623C92">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（三）对滇池、阳宗海重点高原湖泊造成水质污染、水生态环境破坏等环境违法行为的。</w:t>
      </w:r>
    </w:p>
    <w:p w14:paraId="22A16872">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（四）在案件查处中对执法人员进行威胁、辱骂、殴打、恐吓或者打击报复的，或者对举报人、证人进行打击报复的。</w:t>
      </w:r>
    </w:p>
    <w:p w14:paraId="76FE5898">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（五）环境违法行为造成跨行政区域环境污染或生态破坏的。</w:t>
      </w:r>
    </w:p>
    <w:p w14:paraId="09DF7852">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sz w:val="32"/>
          <w:szCs w:val="32"/>
        </w:rPr>
      </w:pPr>
      <w:bookmarkStart w:id="6" w:name="bookmark15"/>
      <w:bookmarkEnd w:id="6"/>
      <w:r>
        <w:rPr>
          <w:rFonts w:hint="eastAsia" w:ascii="Times New Roman" w:hAnsi="Times New Roman" w:eastAsia="仿宋_GB2312" w:cs="仿宋_GB2312"/>
          <w:color w:val="000000" w:themeColor="text1"/>
          <w:sz w:val="32"/>
          <w:szCs w:val="32"/>
          <w14:textFill>
            <w14:solidFill>
              <w14:schemeClr w14:val="tx1"/>
            </w14:solidFill>
          </w14:textFill>
        </w:rPr>
        <w:t>（六）环境违法行为引发集访（5人以上以走访的形式进行的集体上访）等重大群体性事件，电视、电台、报刊、网络等主流媒体曝光报道等不良社会反响的。</w:t>
      </w:r>
      <w:r>
        <w:rPr>
          <w:rFonts w:hint="eastAsia" w:ascii="Times New Roman" w:hAnsi="Times New Roman" w:eastAsia="仿宋_GB2312" w:cs="仿宋_GB2312"/>
          <w:color w:val="000000" w:themeColor="text1"/>
          <w:sz w:val="32"/>
          <w:szCs w:val="32"/>
          <w14:textFill>
            <w14:solidFill>
              <w14:schemeClr w14:val="tx1"/>
            </w14:solidFill>
          </w14:textFill>
        </w:rPr>
        <w:br w:type="textWrapping"/>
      </w:r>
      <w:r>
        <w:rPr>
          <w:rFonts w:hint="eastAsia" w:ascii="Times New Roman" w:hAnsi="Times New Roman" w:eastAsia="仿宋_GB2312" w:cs="仿宋_GB2312"/>
          <w:sz w:val="32"/>
          <w:szCs w:val="32"/>
        </w:rPr>
        <w:t>（七）有恶意损害生态环境、拒不改正违法行为、造成严重危害后果、多次实施违法行为被处罚的。</w:t>
      </w:r>
    </w:p>
    <w:p w14:paraId="4D3F81A2">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sz w:val="32"/>
          <w:szCs w:val="32"/>
        </w:rPr>
        <w:t>（八）</w:t>
      </w:r>
      <w:r>
        <w:rPr>
          <w:rFonts w:hint="eastAsia" w:ascii="Times New Roman" w:hAnsi="Times New Roman" w:eastAsia="仿宋_GB2312" w:cs="仿宋_GB2312"/>
          <w:color w:val="000000" w:themeColor="text1"/>
          <w:sz w:val="32"/>
          <w:szCs w:val="32"/>
          <w14:textFill>
            <w14:solidFill>
              <w14:schemeClr w14:val="tx1"/>
            </w14:solidFill>
          </w14:textFill>
        </w:rPr>
        <w:t>其他具有从重情节的。</w:t>
      </w:r>
    </w:p>
    <w:p w14:paraId="41F62461">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t>对符合从重处罚条件的案件，经集体讨论通过后，可以在裁量基准表计算处罚金额的基础上增加</w:t>
      </w:r>
      <w:r>
        <w:rPr>
          <w:rFonts w:hint="eastAsia" w:ascii="Times New Roman" w:hAnsi="Times New Roman" w:eastAsia="黑体" w:cs="黑体"/>
          <w:color w:val="000000" w:themeColor="text1"/>
          <w:sz w:val="32"/>
          <w:szCs w:val="32"/>
          <w14:textFill>
            <w14:solidFill>
              <w14:schemeClr w14:val="tx1"/>
            </w14:solidFill>
          </w14:textFill>
        </w:rPr>
        <w:t>30%</w:t>
      </w:r>
      <w:r>
        <w:rPr>
          <w:rFonts w:hint="eastAsia" w:ascii="Times New Roman" w:hAnsi="Times New Roman" w:eastAsia="仿宋_GB2312" w:cs="仿宋_GB2312"/>
          <w:color w:val="000000" w:themeColor="text1"/>
          <w:sz w:val="32"/>
          <w:szCs w:val="32"/>
          <w14:textFill>
            <w14:solidFill>
              <w14:schemeClr w14:val="tx1"/>
            </w14:solidFill>
          </w14:textFill>
        </w:rPr>
        <w:t>以内的处罚。从重处罚后的实际处罚金额应以相应处罚幅度最高的</w:t>
      </w:r>
      <w:r>
        <w:rPr>
          <w:rFonts w:hint="eastAsia" w:ascii="Times New Roman" w:hAnsi="Times New Roman" w:eastAsia="仿宋_GB2312" w:cs="仿宋_GB2312"/>
          <w:color w:val="000000"/>
          <w:sz w:val="32"/>
          <w:szCs w:val="32"/>
        </w:rPr>
        <w:t>法定罚款金额为限。</w:t>
      </w:r>
    </w:p>
    <w:p w14:paraId="5611D9AE">
      <w:pPr>
        <w:widowControl w:val="0"/>
        <w:spacing w:beforeLines="0" w:afterLines="0" w:line="570" w:lineRule="exact"/>
        <w:ind w:firstLine="640" w:firstLineChars="200"/>
        <w:jc w:val="both"/>
        <w:rPr>
          <w:rFonts w:hint="eastAsia" w:ascii="Times New Roman" w:hAnsi="Times New Roman" w:eastAsia="黑体" w:cs="黑体"/>
          <w:color w:val="000000"/>
          <w:sz w:val="32"/>
          <w:szCs w:val="32"/>
        </w:rPr>
      </w:pPr>
      <w:r>
        <w:rPr>
          <w:rFonts w:hint="eastAsia" w:ascii="Times New Roman" w:hAnsi="Times New Roman" w:eastAsia="黑体" w:cs="黑体"/>
          <w:color w:val="000000"/>
          <w:sz w:val="32"/>
          <w:szCs w:val="32"/>
        </w:rPr>
        <w:t>第八条</w:t>
      </w:r>
      <w:r>
        <w:rPr>
          <w:rFonts w:hint="eastAsia" w:ascii="Times New Roman" w:hAnsi="Times New Roman" w:eastAsia="仿宋_GB2312" w:cs="仿宋_GB2312"/>
          <w:color w:val="000000"/>
          <w:sz w:val="32"/>
          <w:szCs w:val="32"/>
        </w:rPr>
        <w:t>【从轻或减轻处罚】有下列情形之一的，应当依法从轻或者减轻行政处罚</w:t>
      </w:r>
      <w:r>
        <w:rPr>
          <w:rFonts w:hint="eastAsia" w:ascii="Times New Roman" w:hAnsi="Times New Roman" w:eastAsia="黑体" w:cs="黑体"/>
          <w:color w:val="000000"/>
          <w:sz w:val="32"/>
          <w:szCs w:val="32"/>
        </w:rPr>
        <w:t>：</w:t>
      </w:r>
    </w:p>
    <w:p w14:paraId="6CFEA8CF">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（一）主动消除或者减轻生态环境违法行为危害后果的。</w:t>
      </w:r>
    </w:p>
    <w:p w14:paraId="35180740">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（二）受他人胁迫或者诱骗实施环境违法行为的。</w:t>
      </w:r>
    </w:p>
    <w:p w14:paraId="3DB65C25">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（三）主动供述生态环境主管部门尚未掌握的生态环境违法行为的。</w:t>
      </w:r>
    </w:p>
    <w:p w14:paraId="02551563">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sz w:val="32"/>
          <w:szCs w:val="32"/>
        </w:rPr>
        <w:t>（四）配合生态环境部门查处环境违法行为有立功表现的。</w:t>
      </w:r>
      <w:r>
        <w:rPr>
          <w:rFonts w:hint="eastAsia" w:ascii="Times New Roman" w:hAnsi="Times New Roman" w:eastAsia="仿宋_GB2312" w:cs="仿宋_GB2312"/>
          <w:color w:val="000000" w:themeColor="text1"/>
          <w:sz w:val="32"/>
          <w:szCs w:val="32"/>
          <w14:textFill>
            <w14:solidFill>
              <w14:schemeClr w14:val="tx1"/>
            </w14:solidFill>
          </w14:textFill>
        </w:rPr>
        <w:t>（五）虽非轻微违法，但主动要求启动生态环境损害赔偿程序且一次磋商成功并签署赔偿协议，履行生态环境损害赔偿责任态度积极的。</w:t>
      </w:r>
    </w:p>
    <w:p w14:paraId="7F272E1F">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六）未主动要求启动生态环境损害赔偿程序，但在行政处罚决定作出前已签署赔偿协议，且缴纳完毕60%以上赔偿金的。（七）有其他积极履行生态环境损害赔偿责任、有效采取生态环境修复措施、及时缴纳赔偿金情形的。</w:t>
      </w:r>
    </w:p>
    <w:p w14:paraId="45E82B37">
      <w:pPr>
        <w:widowControl w:val="0"/>
        <w:topLinePunct/>
        <w:autoSpaceDE/>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（八）无组织排放恶臭超标倍数小于1倍，及时主动完成整改并达标排放的。</w:t>
      </w:r>
    </w:p>
    <w:p w14:paraId="255B7139">
      <w:pPr>
        <w:widowControl w:val="0"/>
        <w:topLinePunct/>
        <w:autoSpaceDE/>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九）污染防治设施因突发故障需要停止使用，但因生产工艺或安全生产、民生保障等原因，生产设施无法实现停运或者污染防治设施恢复使用之前确需排放污染物，在故障发生后的24小时内及时主动向生态环境主管部门报告，并及时抢修，排除故障，仍超标排放污染物的。</w:t>
      </w:r>
    </w:p>
    <w:p w14:paraId="610B3021">
      <w:pPr>
        <w:widowControl w:val="0"/>
        <w:topLinePunct/>
        <w:autoSpaceDE/>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eastAsia="zh-CN"/>
        </w:rPr>
        <w:t>（十）</w:t>
      </w:r>
      <w:r>
        <w:rPr>
          <w:rFonts w:hint="eastAsia" w:ascii="Times New Roman" w:hAnsi="Times New Roman" w:eastAsia="仿宋_GB2312" w:cs="仿宋_GB2312"/>
          <w:color w:val="000000"/>
          <w:sz w:val="32"/>
          <w:szCs w:val="32"/>
        </w:rPr>
        <w:t>生产设施连续不可中断运行，已主动向生态环境部门上报年度检修计划，并采取必要的减排措施，在检修时超标排放污染物的。</w:t>
      </w:r>
    </w:p>
    <w:p w14:paraId="45B07B70">
      <w:pPr>
        <w:widowControl w:val="0"/>
        <w:numPr>
          <w:ilvl w:val="-1"/>
          <w:numId w:val="0"/>
        </w:numPr>
        <w:topLinePunct/>
        <w:autoSpaceDE/>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（十一）城镇生活污水处理厂因进水浓度超标导致的出水水质超标，发现后立即主动报告生态环境部门并采取措施减轻危害后果的。</w:t>
      </w:r>
    </w:p>
    <w:p w14:paraId="46EDAFE9">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（十二）法律、法规、规章规定的其他依法从轻或者减轻行政处罚的。</w:t>
      </w:r>
    </w:p>
    <w:p w14:paraId="18A4A058">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在裁量权基准表计算后，还有上述情形的，经集体讨论通过后，可以在裁量权基准表计算处罚金额的基础上减少</w:t>
      </w:r>
      <w:r>
        <w:rPr>
          <w:rFonts w:hint="eastAsia" w:ascii="Times New Roman" w:hAnsi="Times New Roman" w:eastAsia="黑体" w:cs="黑体"/>
          <w:color w:val="000000" w:themeColor="text1"/>
          <w:sz w:val="32"/>
          <w:szCs w:val="32"/>
          <w14:textFill>
            <w14:solidFill>
              <w14:schemeClr w14:val="tx1"/>
            </w14:solidFill>
          </w14:textFill>
        </w:rPr>
        <w:t>30%</w:t>
      </w:r>
      <w:r>
        <w:rPr>
          <w:rFonts w:hint="eastAsia" w:ascii="Times New Roman" w:hAnsi="Times New Roman" w:eastAsia="仿宋_GB2312" w:cs="仿宋_GB2312"/>
          <w:color w:val="000000"/>
          <w:sz w:val="32"/>
          <w:szCs w:val="32"/>
        </w:rPr>
        <w:t>以内进行处罚，</w:t>
      </w:r>
      <w:r>
        <w:rPr>
          <w:rFonts w:hint="eastAsia" w:ascii="Times New Roman" w:hAnsi="Times New Roman" w:eastAsia="仿宋_GB2312" w:cs="仿宋_GB2312"/>
          <w:color w:val="000000"/>
          <w:sz w:val="32"/>
          <w:szCs w:val="32"/>
          <w:u w:val="none"/>
          <w:lang w:eastAsia="zh-CN"/>
        </w:rPr>
        <w:t>减少后的处罚金额不再按照本规则第四条的规定进行取整。</w:t>
      </w:r>
      <w:r>
        <w:rPr>
          <w:rFonts w:hint="eastAsia" w:ascii="Times New Roman" w:hAnsi="Times New Roman" w:eastAsia="仿宋_GB2312" w:cs="仿宋_GB2312"/>
          <w:color w:val="000000"/>
          <w:sz w:val="32"/>
          <w:szCs w:val="32"/>
        </w:rPr>
        <w:t>减少后的罚款金额，未超出最低法定罚款金额的，为从轻处罚，超出最低法定罚款金额限度的，为减轻处罚。</w:t>
      </w:r>
    </w:p>
    <w:p w14:paraId="00FCB270">
      <w:pPr>
        <w:widowControl w:val="0"/>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黑体" w:cs="黑体"/>
          <w:color w:val="000000"/>
          <w:sz w:val="32"/>
          <w:szCs w:val="32"/>
        </w:rPr>
        <w:t xml:space="preserve">第九条 </w:t>
      </w:r>
      <w:r>
        <w:rPr>
          <w:rFonts w:hint="eastAsia" w:ascii="Times New Roman" w:hAnsi="Times New Roman" w:eastAsia="仿宋_GB2312" w:cs="仿宋_GB2312"/>
          <w:color w:val="000000"/>
          <w:sz w:val="32"/>
          <w:szCs w:val="32"/>
        </w:rPr>
        <w:t>【不予处罚】有下列情形之一的，</w:t>
      </w:r>
      <w:r>
        <w:rPr>
          <w:rFonts w:hint="eastAsia" w:ascii="Times New Roman" w:hAnsi="Times New Roman" w:eastAsia="仿宋_GB2312" w:cs="仿宋_GB2312"/>
          <w:color w:val="000000"/>
          <w:sz w:val="32"/>
          <w:szCs w:val="32"/>
          <w:lang w:eastAsia="zh-CN"/>
        </w:rPr>
        <w:t>依法</w:t>
      </w:r>
      <w:r>
        <w:rPr>
          <w:rFonts w:hint="eastAsia" w:ascii="Times New Roman" w:hAnsi="Times New Roman" w:eastAsia="仿宋_GB2312" w:cs="仿宋_GB2312"/>
          <w:color w:val="000000"/>
          <w:sz w:val="32"/>
          <w:szCs w:val="32"/>
        </w:rPr>
        <w:t>不予处罚。</w:t>
      </w:r>
    </w:p>
    <w:p w14:paraId="2DFF1BF9">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（一）因不可抗力导致的生态破坏或者环境污染的。</w:t>
      </w:r>
    </w:p>
    <w:p w14:paraId="0869EF00">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（二）当事人有证据足以证明其不具备主观过错的。</w:t>
      </w:r>
    </w:p>
    <w:p w14:paraId="22A94122">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lang w:bidi="ar"/>
          <w14:ligatures w14:val="none"/>
        </w:rPr>
      </w:pPr>
      <w:r>
        <w:rPr>
          <w:rFonts w:hint="eastAsia" w:ascii="Times New Roman" w:hAnsi="Times New Roman" w:eastAsia="仿宋_GB2312" w:cs="仿宋_GB2312"/>
          <w:color w:val="000000" w:themeColor="text1"/>
          <w:sz w:val="32"/>
          <w:szCs w:val="32"/>
          <w:lang w:val="en-US" w:eastAsia="zh-CN" w:bidi="ar"/>
          <w14:textFill>
            <w14:solidFill>
              <w14:schemeClr w14:val="tx1"/>
            </w14:solidFill>
          </w14:textFill>
          <w14:ligatures w14:val="standardContextual"/>
        </w:rPr>
        <w:t>（三）</w:t>
      </w:r>
      <w:r>
        <w:rPr>
          <w:rFonts w:hint="eastAsia" w:ascii="Times New Roman" w:hAnsi="Times New Roman" w:eastAsia="仿宋_GB2312" w:cs="仿宋_GB2312"/>
          <w:color w:val="000000" w:themeColor="text1"/>
          <w:sz w:val="32"/>
          <w:szCs w:val="32"/>
          <w:lang w:bidi="ar"/>
          <w14:textFill>
            <w14:solidFill>
              <w14:schemeClr w14:val="tx1"/>
            </w14:solidFill>
          </w14:textFill>
          <w14:ligatures w14:val="standardContextual"/>
        </w:rPr>
        <w:t>违法行为</w:t>
      </w:r>
      <w:r>
        <w:rPr>
          <w:rFonts w:hint="eastAsia" w:ascii="Times New Roman" w:hAnsi="Times New Roman" w:eastAsia="仿宋_GB2312" w:cs="仿宋_GB2312"/>
          <w:color w:val="000000"/>
          <w:sz w:val="32"/>
          <w:szCs w:val="32"/>
          <w:lang w:bidi="ar"/>
          <w14:ligatures w14:val="none"/>
        </w:rPr>
        <w:t>轻微，主动要求启动生态环境损害赔偿程序且一次磋商成功并签署赔偿协议，履行生态环境损害赔偿责任态度积极的。</w:t>
      </w:r>
    </w:p>
    <w:p w14:paraId="49C335AD">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lang w:bidi="ar"/>
          <w14:ligatures w14:val="none"/>
        </w:rPr>
      </w:pPr>
      <w:r>
        <w:rPr>
          <w:rFonts w:hint="eastAsia" w:ascii="Times New Roman" w:hAnsi="Times New Roman" w:eastAsia="仿宋_GB2312" w:cs="仿宋_GB2312"/>
          <w:color w:val="000000"/>
          <w:sz w:val="32"/>
          <w:szCs w:val="32"/>
          <w:lang w:eastAsia="zh-CN" w:bidi="ar"/>
          <w14:ligatures w14:val="none"/>
        </w:rPr>
        <w:t>（四）</w:t>
      </w:r>
      <w:r>
        <w:rPr>
          <w:rFonts w:hint="eastAsia" w:ascii="Times New Roman" w:hAnsi="Times New Roman" w:eastAsia="仿宋_GB2312" w:cs="仿宋_GB2312"/>
          <w:color w:val="000000"/>
          <w:sz w:val="32"/>
          <w:szCs w:val="32"/>
        </w:rPr>
        <w:t>其他违法行为轻微并及时纠正，没有造成危害后果的</w:t>
      </w:r>
      <w:r>
        <w:rPr>
          <w:rFonts w:hint="eastAsia" w:ascii="Times New Roman" w:hAnsi="Times New Roman" w:eastAsia="仿宋_GB2312" w:cs="仿宋_GB2312"/>
          <w:color w:val="000000"/>
          <w:sz w:val="32"/>
          <w:szCs w:val="32"/>
          <w:lang w:eastAsia="zh-CN"/>
        </w:rPr>
        <w:t>不予处罚</w:t>
      </w:r>
      <w:r>
        <w:rPr>
          <w:rFonts w:hint="eastAsia" w:ascii="Times New Roman" w:hAnsi="Times New Roman" w:eastAsia="仿宋_GB2312" w:cs="仿宋_GB2312"/>
          <w:color w:val="000000"/>
          <w:sz w:val="32"/>
          <w:szCs w:val="32"/>
        </w:rPr>
        <w:t>。</w:t>
      </w:r>
      <w:r>
        <w:rPr>
          <w:rFonts w:hint="eastAsia" w:ascii="Times New Roman" w:hAnsi="Times New Roman" w:eastAsia="仿宋_GB2312" w:cs="仿宋_GB2312"/>
          <w:color w:val="000000"/>
          <w:sz w:val="32"/>
          <w:szCs w:val="32"/>
          <w:lang w:bidi="ar"/>
          <w14:ligatures w14:val="none"/>
        </w:rPr>
        <w:t>初次违法且危害后果轻微并及时改正的</w:t>
      </w:r>
      <w:r>
        <w:rPr>
          <w:rFonts w:hint="eastAsia" w:ascii="Times New Roman" w:hAnsi="Times New Roman" w:eastAsia="仿宋_GB2312" w:cs="仿宋_GB2312"/>
          <w:color w:val="000000"/>
          <w:sz w:val="32"/>
          <w:szCs w:val="32"/>
          <w:lang w:eastAsia="zh-CN" w:bidi="ar"/>
          <w14:ligatures w14:val="none"/>
        </w:rPr>
        <w:t>，可以不予处罚</w:t>
      </w:r>
      <w:r>
        <w:rPr>
          <w:rFonts w:hint="eastAsia" w:ascii="Times New Roman" w:hAnsi="Times New Roman" w:eastAsia="仿宋_GB2312" w:cs="仿宋_GB2312"/>
          <w:color w:val="000000"/>
          <w:sz w:val="32"/>
          <w:szCs w:val="32"/>
          <w:lang w:bidi="ar"/>
          <w14:ligatures w14:val="none"/>
        </w:rPr>
        <w:t>。</w:t>
      </w:r>
    </w:p>
    <w:p w14:paraId="2C01FBC2">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eastAsia="zh-CN"/>
        </w:rPr>
        <w:t>（五）</w:t>
      </w:r>
      <w:r>
        <w:rPr>
          <w:rFonts w:hint="eastAsia" w:ascii="Times New Roman" w:hAnsi="Times New Roman" w:eastAsia="仿宋_GB2312" w:cs="仿宋_GB2312"/>
          <w:color w:val="000000"/>
          <w:sz w:val="32"/>
          <w:szCs w:val="32"/>
        </w:rPr>
        <w:t>符合云南省生态环境厅《云南省生态环境违法行为不予处罚事项清单》情形的。</w:t>
      </w:r>
    </w:p>
    <w:p w14:paraId="539E9799">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eastAsia="zh-CN"/>
        </w:rPr>
        <w:t>（六）</w:t>
      </w:r>
      <w:r>
        <w:rPr>
          <w:rFonts w:hint="eastAsia" w:ascii="Times New Roman" w:hAnsi="Times New Roman" w:eastAsia="仿宋_GB2312" w:cs="仿宋_GB2312"/>
          <w:color w:val="000000"/>
          <w:sz w:val="32"/>
          <w:szCs w:val="32"/>
        </w:rPr>
        <w:t>符合昆明市生态环境局《昆明市生态环境违法行为不予处罚事项清单》情形的。</w:t>
      </w:r>
    </w:p>
    <w:p w14:paraId="14E7B138">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themeColor="text1"/>
          <w:sz w:val="32"/>
          <w:szCs w:val="32"/>
          <w:lang w:bidi="ar"/>
          <w14:textFill>
            <w14:solidFill>
              <w14:schemeClr w14:val="tx1"/>
            </w14:solidFill>
          </w14:textFill>
          <w14:ligatures w14:val="standardContextual"/>
        </w:rPr>
      </w:pPr>
      <w:r>
        <w:rPr>
          <w:rFonts w:hint="eastAsia" w:ascii="Times New Roman" w:hAnsi="Times New Roman" w:eastAsia="仿宋_GB2312" w:cs="仿宋_GB2312"/>
          <w:color w:val="000000"/>
          <w:sz w:val="32"/>
          <w:szCs w:val="32"/>
        </w:rPr>
        <w:t>《昆明市生态环境违法行为不予处罚事项清单》</w:t>
      </w:r>
      <w:r>
        <w:rPr>
          <w:rFonts w:hint="eastAsia" w:ascii="Times New Roman" w:hAnsi="Times New Roman" w:eastAsia="仿宋_GB2312" w:cs="仿宋_GB2312"/>
          <w:color w:val="000000"/>
          <w:sz w:val="32"/>
          <w:szCs w:val="32"/>
          <w:lang w:eastAsia="zh-CN"/>
        </w:rPr>
        <w:t>实行动态更新。</w:t>
      </w:r>
      <w:r>
        <w:rPr>
          <w:rFonts w:hint="eastAsia" w:ascii="Times New Roman" w:hAnsi="Times New Roman" w:eastAsia="仿宋_GB2312" w:cs="仿宋_GB2312"/>
          <w:color w:val="000000"/>
          <w:sz w:val="32"/>
          <w:szCs w:val="32"/>
          <w:lang w:bidi="ar"/>
          <w14:ligatures w14:val="none"/>
        </w:rPr>
        <w:t>生态环境部门应当坚持处罚与教育相结合的原则，对依法不予处罚的当事人，通过普法教育、指导约谈等措施，促进其依法开展生产经营活</w:t>
      </w:r>
      <w:r>
        <w:rPr>
          <w:rFonts w:hint="eastAsia" w:ascii="Times New Roman" w:hAnsi="Times New Roman" w:eastAsia="仿宋_GB2312" w:cs="仿宋_GB2312"/>
          <w:color w:val="000000" w:themeColor="text1"/>
          <w:sz w:val="32"/>
          <w:szCs w:val="32"/>
          <w:lang w:bidi="ar"/>
          <w14:textFill>
            <w14:solidFill>
              <w14:schemeClr w14:val="tx1"/>
            </w14:solidFill>
          </w14:textFill>
          <w14:ligatures w14:val="standardContextual"/>
        </w:rPr>
        <w:t>动。</w:t>
      </w:r>
    </w:p>
    <w:p w14:paraId="15C930D5">
      <w:pPr>
        <w:spacing w:beforeLines="0" w:afterLines="0" w:line="570" w:lineRule="exact"/>
        <w:ind w:firstLine="640" w:firstLineChars="200"/>
        <w:rPr>
          <w:rFonts w:ascii="Times New Roman" w:hAnsi="Times New Roman"/>
        </w:rPr>
      </w:pPr>
      <w:r>
        <w:rPr>
          <w:rFonts w:hint="eastAsia" w:ascii="Times New Roman" w:hAnsi="Times New Roman" w:eastAsia="仿宋_GB2312" w:cs="仿宋_GB2312"/>
          <w:color w:val="000000" w:themeColor="text1"/>
          <w:sz w:val="32"/>
          <w:szCs w:val="32"/>
          <w:lang w:bidi="ar"/>
          <w14:textFill>
            <w14:solidFill>
              <w14:schemeClr w14:val="tx1"/>
            </w14:solidFill>
          </w14:textFill>
          <w14:ligatures w14:val="standardContextual"/>
        </w:rPr>
        <w:t>涉及生态保护红线、重点高原湖泊核心区、饮用水源一级保护区、自然保护地核心区等生态环境敏感区域的违法行为，原则上不适用前款规定。纳入省市不予处罚事项清单情形除外。</w:t>
      </w:r>
    </w:p>
    <w:p w14:paraId="6F8731BF">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黑体" w:cs="黑体"/>
          <w:color w:val="000000"/>
          <w:sz w:val="32"/>
          <w:szCs w:val="32"/>
        </w:rPr>
        <w:t>第十条</w:t>
      </w:r>
      <w:r>
        <w:rPr>
          <w:rFonts w:hint="eastAsia" w:ascii="Times New Roman" w:hAnsi="Times New Roman" w:eastAsia="仿宋_GB2312" w:cs="仿宋_GB2312"/>
          <w:color w:val="000000"/>
          <w:sz w:val="32"/>
          <w:szCs w:val="32"/>
        </w:rPr>
        <w:t>【相关制度】实施生态环境行政处罚，执行以下制度：</w:t>
      </w:r>
    </w:p>
    <w:p w14:paraId="2668D112">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rPr>
        <w:t>（一）查处分离制度。</w:t>
      </w:r>
      <w:r>
        <w:rPr>
          <w:rFonts w:hint="eastAsia" w:ascii="Times New Roman" w:hAnsi="Times New Roman" w:eastAsia="仿宋_GB2312" w:cs="仿宋_GB2312"/>
          <w:color w:val="000000"/>
          <w:sz w:val="32"/>
          <w:szCs w:val="32"/>
        </w:rPr>
        <w:t>将生态环境执法的调查、审核、决定、执行等职能进行相对分离，使执法权力分段行使，执法人员相互监督，建立既相互协调、又相互制约的权力运行机制。</w:t>
      </w:r>
    </w:p>
    <w:p w14:paraId="43AD1A67">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rPr>
        <w:t>（二）执法回避制度。</w:t>
      </w:r>
      <w:r>
        <w:rPr>
          <w:rFonts w:hint="eastAsia" w:ascii="Times New Roman" w:hAnsi="Times New Roman" w:eastAsia="仿宋_GB2312" w:cs="仿宋_GB2312"/>
          <w:color w:val="000000"/>
          <w:sz w:val="32"/>
          <w:szCs w:val="32"/>
        </w:rPr>
        <w:t>执法人员与其所管理事项或者当事人有利害关系、可能影响公平公正处理的，不得参与相关案件的调查和处理。</w:t>
      </w:r>
    </w:p>
    <w:p w14:paraId="7198796B">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rPr>
        <w:t>（三）执法公示制度。</w:t>
      </w:r>
      <w:r>
        <w:rPr>
          <w:rFonts w:hint="eastAsia" w:ascii="Times New Roman" w:hAnsi="Times New Roman" w:eastAsia="仿宋_GB2312" w:cs="仿宋_GB2312"/>
          <w:color w:val="000000"/>
          <w:sz w:val="32"/>
          <w:szCs w:val="32"/>
        </w:rPr>
        <w:t>强化事前、事后公开，向社会主动公开环境保护法律法规、行政执法决定等信息。规范事中公示，行政执法人员在执法过程要主动表明身份，接受社会监督。</w:t>
      </w:r>
    </w:p>
    <w:p w14:paraId="79CE8972">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lang w:val="en-US" w:eastAsia="zh-CN"/>
        </w:rPr>
      </w:pPr>
      <w:r>
        <w:rPr>
          <w:rFonts w:hint="eastAsia" w:ascii="Times New Roman" w:hAnsi="Times New Roman" w:eastAsia="仿宋_GB2312" w:cs="仿宋_GB2312"/>
          <w:color w:val="000000"/>
          <w:kern w:val="2"/>
          <w:sz w:val="32"/>
          <w:szCs w:val="32"/>
        </w:rPr>
        <w:t>（四）执法全过程记录制度。</w:t>
      </w:r>
      <w:r>
        <w:rPr>
          <w:rFonts w:hint="eastAsia" w:ascii="Times New Roman" w:hAnsi="Times New Roman" w:eastAsia="仿宋_GB2312" w:cs="仿宋_GB2312"/>
          <w:color w:val="000000"/>
          <w:sz w:val="32"/>
          <w:szCs w:val="32"/>
        </w:rPr>
        <w:t>对立案、调查、审查、决定、执行程序以及执法时间、地点、对象、事实、结果等做出详细记录，并全面系统归档保存，实现全过程留痕和可回溯管理。</w:t>
      </w:r>
      <w:r>
        <w:rPr>
          <w:rFonts w:hint="eastAsia" w:ascii="Times New Roman" w:hAnsi="Times New Roman" w:eastAsia="仿宋_GB2312" w:cs="仿宋_GB2312"/>
          <w:color w:val="000000"/>
          <w:sz w:val="32"/>
          <w:szCs w:val="32"/>
          <w:lang w:val="en-US" w:eastAsia="zh-CN"/>
        </w:rPr>
        <w:t xml:space="preserve">  </w:t>
      </w:r>
    </w:p>
    <w:p w14:paraId="5600A23E">
      <w:pPr>
        <w:widowControl w:val="0"/>
        <w:topLinePunct/>
        <w:spacing w:beforeLines="0" w:afterLines="0" w:line="570" w:lineRule="exact"/>
        <w:ind w:firstLine="640" w:firstLineChars="200"/>
        <w:jc w:val="both"/>
        <w:textAlignment w:val="top"/>
        <w:rPr>
          <w:rFonts w:hint="eastAsia" w:ascii="Times New Roman" w:hAnsi="Times New Roman" w:eastAsia="黑体" w:cs="黑体"/>
          <w:color w:val="000000"/>
          <w:sz w:val="32"/>
          <w:szCs w:val="32"/>
        </w:rPr>
      </w:pPr>
      <w:r>
        <w:rPr>
          <w:rFonts w:hint="eastAsia" w:ascii="Times New Roman" w:hAnsi="Times New Roman" w:eastAsia="仿宋_GB2312" w:cs="仿宋_GB2312"/>
          <w:color w:val="000000"/>
          <w:kern w:val="2"/>
          <w:sz w:val="32"/>
          <w:szCs w:val="32"/>
        </w:rPr>
        <w:t>（五）重大行政执法决定法制审核制度。</w:t>
      </w:r>
      <w:r>
        <w:rPr>
          <w:rFonts w:hint="eastAsia" w:ascii="Times New Roman" w:hAnsi="Times New Roman" w:eastAsia="仿宋_GB2312" w:cs="仿宋_GB2312"/>
          <w:color w:val="000000"/>
          <w:sz w:val="32"/>
          <w:szCs w:val="32"/>
        </w:rPr>
        <w:t>对涉及重大公共利益</w:t>
      </w:r>
      <w:r>
        <w:rPr>
          <w:rFonts w:hint="eastAsia" w:ascii="Times New Roman" w:hAnsi="Times New Roman" w:eastAsia="黑体" w:cs="黑体"/>
          <w:color w:val="000000"/>
          <w:sz w:val="32"/>
          <w:szCs w:val="32"/>
        </w:rPr>
        <w:t>；</w:t>
      </w:r>
      <w:r>
        <w:rPr>
          <w:rFonts w:hint="eastAsia" w:ascii="Times New Roman" w:hAnsi="Times New Roman" w:eastAsia="仿宋_GB2312" w:cs="仿宋_GB2312"/>
          <w:color w:val="000000"/>
          <w:sz w:val="32"/>
          <w:szCs w:val="32"/>
        </w:rPr>
        <w:t>直接关系行政相对人或第三人重大权益的，经过听证程序的案件；案件情况疑难复杂、涉及多个法律关系的案件；</w:t>
      </w:r>
      <w:r>
        <w:rPr>
          <w:rFonts w:hint="eastAsia" w:ascii="Times New Roman" w:hAnsi="Times New Roman" w:eastAsia="仿宋_GB2312" w:cs="仿宋_GB2312"/>
          <w:color w:val="000000"/>
          <w:sz w:val="32"/>
          <w:szCs w:val="32"/>
          <w:lang w:bidi="ar"/>
        </w:rPr>
        <w:t>法律、 法规规定应当进行法制审核的其他情形的案件，生态环境主管部门负责人作出行政处罚决定之前，应当由生态环境主管部门负责重大执法决定法制审核的机构或者法制审核人员进行法制审核。</w:t>
      </w:r>
      <w:r>
        <w:rPr>
          <w:rFonts w:hint="eastAsia" w:ascii="Times New Roman" w:hAnsi="Times New Roman" w:eastAsia="仿宋_GB2312" w:cs="仿宋_GB2312"/>
          <w:sz w:val="32"/>
          <w:szCs w:val="32"/>
        </w:rPr>
        <w:t>未经法制审核或者审核未通过的，不得作出决定。</w:t>
      </w:r>
    </w:p>
    <w:p w14:paraId="004417B2">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rPr>
        <w:t>（六）案卷评查制度。</w:t>
      </w:r>
      <w:r>
        <w:rPr>
          <w:rFonts w:hint="eastAsia" w:ascii="Times New Roman" w:hAnsi="Times New Roman" w:eastAsia="仿宋_GB2312" w:cs="仿宋_GB2312"/>
          <w:color w:val="000000"/>
          <w:sz w:val="32"/>
          <w:szCs w:val="32"/>
        </w:rPr>
        <w:t>上级生态环境部门可以结合工作实际，组织对下级生态环境部门的行政执法案卷评查，将案卷质量作为衡量执法水平的重要依据。</w:t>
      </w:r>
    </w:p>
    <w:p w14:paraId="67AF29E8">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rPr>
        <w:t>（七）执法统计制度。</w:t>
      </w:r>
      <w:r>
        <w:rPr>
          <w:rFonts w:hint="eastAsia" w:ascii="Times New Roman" w:hAnsi="Times New Roman" w:eastAsia="仿宋_GB2312" w:cs="仿宋_GB2312"/>
          <w:color w:val="000000"/>
          <w:sz w:val="32"/>
          <w:szCs w:val="32"/>
        </w:rPr>
        <w:t>对本机构作出行政执法决定的情况进行全面、及时、准确的统计，认真分析执法统计信息，加强对信息的分析处理，注重分析成果的应用。</w:t>
      </w:r>
    </w:p>
    <w:p w14:paraId="63708FFE">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rPr>
        <w:t>（八）裁量判例制度。</w:t>
      </w:r>
      <w:r>
        <w:rPr>
          <w:rFonts w:hint="eastAsia" w:ascii="Times New Roman" w:hAnsi="Times New Roman" w:eastAsia="仿宋_GB2312" w:cs="仿宋_GB2312"/>
          <w:color w:val="000000"/>
          <w:sz w:val="32"/>
          <w:szCs w:val="32"/>
        </w:rPr>
        <w:t>按照优化执法方式提高执法效能要求，生态环境部门可以针对常见环境违法行为，确定一批裁量权尺度把握适当的典型案例，为行政处罚裁量权的行使提供参照。</w:t>
      </w:r>
    </w:p>
    <w:p w14:paraId="51592408">
      <w:pPr>
        <w:widowControl w:val="0"/>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黑体" w:cs="黑体"/>
          <w:color w:val="000000"/>
          <w:sz w:val="32"/>
          <w:szCs w:val="32"/>
        </w:rPr>
        <w:t>第十一条</w:t>
      </w:r>
      <w:r>
        <w:rPr>
          <w:rFonts w:hint="eastAsia" w:ascii="Times New Roman" w:hAnsi="Times New Roman" w:eastAsia="仿宋_GB2312" w:cs="仿宋_GB2312"/>
          <w:color w:val="000000"/>
          <w:sz w:val="32"/>
          <w:szCs w:val="32"/>
        </w:rPr>
        <w:t>【裁量权规则和基准规定的全过程适用】裁量权规则和基准规定适用于办理生态环境违法案件的各阶段。</w:t>
      </w:r>
    </w:p>
    <w:p w14:paraId="56623B18">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rPr>
        <w:t>（一）调查取证阶段。</w:t>
      </w:r>
      <w:r>
        <w:rPr>
          <w:rFonts w:hint="eastAsia" w:ascii="Times New Roman" w:hAnsi="Times New Roman" w:eastAsia="仿宋_GB2312" w:cs="仿宋_GB2312"/>
          <w:color w:val="000000"/>
          <w:sz w:val="32"/>
          <w:szCs w:val="32"/>
        </w:rPr>
        <w:t>环境违法案件调查取证过程中，执法人员应当以裁量权规则和基准规定为指导，全面调取有关违法行为和情节的证据；在提交行政处罚案件调查报告时，不仅要附有违法行为的定性证据，还应根据裁量因子提供有关定量证据。因客观情况未能调取到裁量权基准表中部分裁量因素的情节和证据，应在案件调查报告中注明，计算处罚金额时不考虑该项裁量因素。</w:t>
      </w:r>
    </w:p>
    <w:p w14:paraId="79F584B5">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rPr>
        <w:t>（二）案件审查阶段。</w:t>
      </w:r>
      <w:r>
        <w:rPr>
          <w:rFonts w:hint="eastAsia" w:ascii="Times New Roman" w:hAnsi="Times New Roman" w:eastAsia="仿宋_GB2312" w:cs="仿宋_GB2312"/>
          <w:color w:val="000000"/>
          <w:sz w:val="32"/>
          <w:szCs w:val="32"/>
        </w:rPr>
        <w:t>案件审查过程中，案件审查人员应当严格遵守裁量权规则和使用裁量基准，对具体案件的处罚额度提出合理的裁量建议。</w:t>
      </w:r>
    </w:p>
    <w:p w14:paraId="323B47DC">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rPr>
        <w:t>（三）告知和听证阶段。</w:t>
      </w:r>
      <w:r>
        <w:rPr>
          <w:rFonts w:hint="eastAsia" w:ascii="Times New Roman" w:hAnsi="Times New Roman" w:eastAsia="仿宋_GB2312" w:cs="仿宋_GB2312"/>
          <w:color w:val="000000"/>
          <w:sz w:val="32"/>
          <w:szCs w:val="32"/>
        </w:rPr>
        <w:t>生态环境部门应当在告知当事人行政处罚有关违法事实、证据、处罚依据时，一并告知行政处罚裁量权的适用依据，以及其陈述申辩权利。实施不予（免于）处罚的也应该履行事先告知程序。当事人陈述申辩时对裁量权适用提出异议的，应当对异议情况进行核查，对合理的意见予以采纳，不得因当事人的陈述申辩而加重处罚。</w:t>
      </w:r>
    </w:p>
    <w:p w14:paraId="66D2F53A">
      <w:pPr>
        <w:spacing w:beforeLines="0" w:afterLines="0" w:line="570" w:lineRule="exact"/>
        <w:ind w:firstLine="640" w:firstLineChars="200"/>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rPr>
        <w:t>（四）决定阶段。</w:t>
      </w:r>
      <w:r>
        <w:rPr>
          <w:rFonts w:hint="eastAsia" w:ascii="Times New Roman" w:hAnsi="Times New Roman" w:eastAsia="仿宋_GB2312" w:cs="仿宋_GB2312"/>
          <w:color w:val="000000"/>
          <w:sz w:val="32"/>
          <w:szCs w:val="32"/>
        </w:rPr>
        <w:t>生态环境部门在作出处罚决定时，应当在处罚决定书中载明行政处罚裁量权的适用依据和理由，以及对当事人关于裁量的陈述申辩意见的采纳情况和理由。对符合</w:t>
      </w:r>
      <w:r>
        <w:rPr>
          <w:rFonts w:hint="eastAsia" w:ascii="Times New Roman" w:hAnsi="Times New Roman" w:eastAsia="仿宋_GB2312" w:cs="仿宋_GB2312"/>
          <w:color w:val="000000"/>
          <w:sz w:val="32"/>
          <w:szCs w:val="32"/>
          <w:lang w:bidi="ar"/>
        </w:rPr>
        <w:t>《生态环境行政处罚办法》第五十二条情形的案件，应当集体讨论决定，</w:t>
      </w:r>
      <w:r>
        <w:rPr>
          <w:rFonts w:hint="eastAsia" w:ascii="Times New Roman" w:hAnsi="Times New Roman" w:eastAsia="仿宋_GB2312" w:cs="仿宋_GB2312"/>
          <w:color w:val="000000"/>
          <w:sz w:val="32"/>
          <w:szCs w:val="32"/>
        </w:rPr>
        <w:t>书面记录审议结果，并随案卷归档。对从重处罚、从轻或减轻处罚、不予处罚的案件，应当在案卷中附具理由。</w:t>
      </w:r>
    </w:p>
    <w:p w14:paraId="044B6B0D">
      <w:pPr>
        <w:spacing w:beforeLines="0" w:afterLines="0" w:line="57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全市生态环境行政执法机构，要将党建工作要求、廉洁执法规定融入案件受理、调查取证、处罚决定、执行整改等执法全流程，确保严格规范公正文明执法。</w:t>
      </w:r>
    </w:p>
    <w:p w14:paraId="77055E1E">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黑体" w:cs="黑体"/>
          <w:color w:val="000000"/>
          <w:sz w:val="32"/>
          <w:szCs w:val="32"/>
        </w:rPr>
        <w:t>第十二条</w:t>
      </w:r>
      <w:r>
        <w:rPr>
          <w:rFonts w:hint="eastAsia" w:ascii="Times New Roman" w:hAnsi="Times New Roman" w:eastAsia="仿宋_GB2312" w:cs="仿宋_GB2312"/>
          <w:color w:val="000000"/>
          <w:sz w:val="32"/>
          <w:szCs w:val="32"/>
        </w:rPr>
        <w:t>【责任追究】生态环境部门不规范行使行政处罚裁量权构成违纪违法的，依纪依法追究责任。</w:t>
      </w:r>
    </w:p>
    <w:p w14:paraId="10D63331">
      <w:pPr>
        <w:spacing w:beforeLines="0" w:afterLines="0" w:line="570" w:lineRule="exact"/>
        <w:ind w:firstLine="560" w:firstLineChars="200"/>
        <w:jc w:val="both"/>
        <w:rPr>
          <w:rFonts w:hint="eastAsia" w:ascii="Times New Roman" w:hAnsi="Times New Roman" w:eastAsia="仿宋_GB2312" w:cs="仿宋_GB2312"/>
          <w:sz w:val="32"/>
          <w:szCs w:val="32"/>
        </w:rPr>
      </w:pPr>
      <w:r>
        <w:rPr>
          <w:rFonts w:hint="eastAsia" w:ascii="Times New Roman" w:hAnsi="Times New Roman" w:eastAsia="黑体" w:cs="黑体"/>
          <w:sz w:val="28"/>
          <w:szCs w:val="28"/>
        </w:rPr>
        <w:t>第十三条【法律适用原则】</w:t>
      </w:r>
      <w:r>
        <w:rPr>
          <w:rFonts w:hint="eastAsia" w:ascii="Times New Roman" w:hAnsi="Times New Roman" w:eastAsia="仿宋_GB2312" w:cs="仿宋_GB2312"/>
          <w:sz w:val="32"/>
          <w:szCs w:val="32"/>
        </w:rPr>
        <w:t>在不同法律、法规、规章中，对同一违法行为的法律责任有不同规定的，按照以下原则适用：</w:t>
      </w:r>
    </w:p>
    <w:p w14:paraId="0109F4C5">
      <w:pPr>
        <w:spacing w:beforeLines="0" w:afterLines="0" w:line="57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（一）上位法优先于下位法，上位法与下位法的规定完全一致的，均可适用；下位法对上位法作出细化规定的，适用下位法。</w:t>
      </w:r>
    </w:p>
    <w:p w14:paraId="00BA6EEC">
      <w:pPr>
        <w:spacing w:beforeLines="0" w:afterLines="0" w:line="57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（二）同一位阶的法律、法规和规章，新法优先于旧法。</w:t>
      </w:r>
    </w:p>
    <w:p w14:paraId="51DF9A95">
      <w:pPr>
        <w:spacing w:beforeLines="0" w:afterLines="0" w:line="57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（三）若裁量基准表适用的法律依据发生变化，则适用最新的法律依据。</w:t>
      </w:r>
    </w:p>
    <w:p w14:paraId="5613D313">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黑体" w:cs="黑体"/>
          <w:color w:val="000000"/>
          <w:sz w:val="32"/>
          <w:szCs w:val="32"/>
        </w:rPr>
        <w:t>第十四条</w:t>
      </w:r>
      <w:r>
        <w:rPr>
          <w:rFonts w:hint="eastAsia" w:ascii="Times New Roman" w:hAnsi="Times New Roman" w:eastAsia="仿宋_GB2312" w:cs="仿宋_GB2312"/>
          <w:color w:val="000000"/>
          <w:sz w:val="32"/>
          <w:szCs w:val="32"/>
        </w:rPr>
        <w:t>【术语含义及认定】本细则有关术语的含义及认定：</w:t>
      </w:r>
    </w:p>
    <w:p w14:paraId="5F82E5BF">
      <w:pPr>
        <w:spacing w:beforeLines="0" w:afterLines="0" w:line="57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本细则所称“二年内”，以第一次违法行为受到行政处罚的生效之日与又实施相应行为之日的时间间隔计算确定。</w:t>
      </w:r>
    </w:p>
    <w:p w14:paraId="2F9426AA">
      <w:pPr>
        <w:widowControl/>
        <w:topLinePunct w:val="0"/>
        <w:spacing w:beforeLines="0" w:afterLines="0" w:line="570" w:lineRule="exact"/>
        <w:ind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bidi="ar"/>
        </w:rPr>
        <w:t>“同类违法行为”是指在本辖区内按照同一法律、法规或规章等法律规范的条款已被查处的违法行为。新的法律规范实施后，案件适用的法律规范发生改变，但是新旧法律规范规定的违 法行为内容相同的，视为同类违法行为。</w:t>
      </w:r>
    </w:p>
    <w:p w14:paraId="49A1C01E">
      <w:pPr>
        <w:spacing w:beforeLines="0" w:afterLines="0" w:line="570" w:lineRule="exact"/>
        <w:ind w:firstLine="640" w:firstLineChars="200"/>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bidi="ar"/>
        </w:rPr>
        <w:t>“大中小微型企业”</w:t>
      </w:r>
      <w:r>
        <w:rPr>
          <w:rFonts w:hint="eastAsia" w:ascii="Times New Roman" w:hAnsi="Times New Roman" w:eastAsia="仿宋_GB2312" w:cs="仿宋_GB2312"/>
          <w:color w:val="000000"/>
          <w:sz w:val="32"/>
          <w:szCs w:val="32"/>
        </w:rPr>
        <w:t>参照国家统计局《统计上大中小微型企业划分办法（2017）》认定，如有更新，按最新版本认定。</w:t>
      </w:r>
    </w:p>
    <w:p w14:paraId="15A5B006">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“排污超标状况”存在多个污染因子超标的，以超标倍数最高的污染因子进行等级裁量；“小时烟气流量”以超标</w:t>
      </w:r>
      <w:r>
        <w:rPr>
          <w:rFonts w:hint="eastAsia" w:ascii="仿宋_GB2312" w:hAnsi="仿宋_GB2312" w:eastAsia="仿宋_GB2312" w:cs="仿宋_GB2312"/>
          <w:color w:val="000000"/>
          <w:sz w:val="32"/>
          <w:szCs w:val="32"/>
        </w:rPr>
        <w:t>时段</w:t>
      </w:r>
      <w:r>
        <w:rPr>
          <w:rFonts w:hint="eastAsia" w:ascii="Times New Roman" w:hAnsi="Times New Roman" w:eastAsia="仿宋_GB2312" w:cs="仿宋_GB2312"/>
          <w:color w:val="000000"/>
          <w:sz w:val="32"/>
          <w:szCs w:val="32"/>
        </w:rPr>
        <w:t>小时烟气流量最高值认定；“废水日排放量”以超标当日污水排放量认定。</w:t>
      </w:r>
    </w:p>
    <w:p w14:paraId="31F2E3B2">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突发环境事件分级”以《国家突发环境事件应急预案》（2014年修订）中的“突发环境事件分级标准”认定；“辐射事故等级”按照《放射性同位素与射线装置安全和防护条例》（2019年修订）第四十条进行认定。如有更新，按最新版本认定。</w:t>
      </w:r>
    </w:p>
    <w:p w14:paraId="7AE9F61E">
      <w:pPr>
        <w:spacing w:beforeLines="0" w:afterLines="0" w:line="57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本规则中“3日”“5日”“7日”的规定是指工作日，不含法定节假日；30及按月计算的期间按自然日计算；法律、法规、规章对期间计算另有规定的，从其规定。</w:t>
      </w:r>
    </w:p>
    <w:p w14:paraId="52B0C99F">
      <w:pPr>
        <w:spacing w:beforeLines="0" w:afterLines="0" w:line="57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sz w:val="32"/>
          <w:szCs w:val="32"/>
        </w:rPr>
        <w:t>本细则中的“以上”“以下”“以内”均包含本数；“不足”不含本数。</w:t>
      </w:r>
    </w:p>
    <w:p w14:paraId="50635E17">
      <w:pPr>
        <w:widowControl w:val="0"/>
        <w:topLinePunct/>
        <w:spacing w:beforeLines="0" w:afterLines="0" w:line="570" w:lineRule="exact"/>
        <w:ind w:firstLine="640" w:firstLineChars="200"/>
        <w:jc w:val="both"/>
        <w:textAlignment w:val="top"/>
        <w:rPr>
          <w:rFonts w:hint="eastAsia" w:ascii="Times New Roman" w:hAnsi="Times New Roman" w:eastAsia="仿宋_GB2312" w:cs="仿宋_GB2312"/>
          <w:color w:val="000000"/>
          <w:sz w:val="32"/>
          <w:szCs w:val="32"/>
        </w:rPr>
      </w:pPr>
      <w:r>
        <w:rPr>
          <w:rFonts w:hint="eastAsia" w:ascii="Times New Roman" w:hAnsi="Times New Roman" w:eastAsia="黑体" w:cs="黑体"/>
          <w:color w:val="000000"/>
          <w:sz w:val="32"/>
          <w:szCs w:val="32"/>
        </w:rPr>
        <w:t>第十五条</w:t>
      </w:r>
      <w:r>
        <w:rPr>
          <w:rFonts w:hint="eastAsia" w:ascii="Times New Roman" w:hAnsi="Times New Roman" w:eastAsia="仿宋_GB2312" w:cs="仿宋_GB2312"/>
          <w:color w:val="000000"/>
          <w:sz w:val="32"/>
          <w:szCs w:val="32"/>
        </w:rPr>
        <w:t>【解释权】本细则由昆明市生态环境局负责解释。</w:t>
      </w:r>
    </w:p>
    <w:p w14:paraId="5642B4ED">
      <w:pPr>
        <w:spacing w:beforeLines="0" w:afterLines="0" w:line="570" w:lineRule="exact"/>
        <w:ind w:firstLine="640" w:firstLineChars="200"/>
        <w:rPr>
          <w:rFonts w:hint="eastAsia" w:ascii="Times New Roman" w:hAnsi="Times New Roman" w:eastAsia="仿宋_GB2312" w:cs="仿宋_GB2312"/>
          <w:color w:val="000000"/>
          <w:sz w:val="32"/>
          <w:szCs w:val="32"/>
          <w:lang w:eastAsia="zh-CN"/>
        </w:rPr>
        <w:sectPr>
          <w:headerReference r:id="rId3" w:type="default"/>
          <w:footerReference r:id="rId4" w:type="default"/>
          <w:pgSz w:w="11906" w:h="16838"/>
          <w:pgMar w:top="2098" w:right="1587" w:bottom="2098" w:left="1587" w:header="851" w:footer="992" w:gutter="0"/>
          <w:pgNumType w:fmt="numberInDash"/>
          <w:cols w:space="720" w:num="1"/>
          <w:docGrid w:type="lines" w:linePitch="312" w:charSpace="0"/>
        </w:sectPr>
      </w:pPr>
      <w:r>
        <w:rPr>
          <w:rFonts w:hint="eastAsia" w:ascii="Times New Roman" w:hAnsi="Times New Roman" w:eastAsia="黑体" w:cs="黑体"/>
          <w:color w:val="000000"/>
          <w:sz w:val="32"/>
          <w:szCs w:val="32"/>
        </w:rPr>
        <w:t>第十六条</w:t>
      </w:r>
      <w:r>
        <w:rPr>
          <w:rFonts w:hint="eastAsia" w:ascii="Times New Roman" w:hAnsi="Times New Roman" w:eastAsia="仿宋_GB2312" w:cs="仿宋_GB2312"/>
          <w:color w:val="000000"/>
          <w:sz w:val="32"/>
          <w:szCs w:val="32"/>
        </w:rPr>
        <w:t>【施行日期】本细则自起施行，原《昆明市生态环境行政处罚裁量规则和基准实施细则（2024年版）》《关于印发昆明市生态环境局容错纠错“五张清单”（2025年版）的通知》（便函〔2025〕558号）同时废止</w:t>
      </w:r>
      <w:r>
        <w:rPr>
          <w:rFonts w:hint="eastAsia" w:ascii="Times New Roman" w:hAnsi="Times New Roman" w:eastAsia="仿宋_GB2312" w:cs="仿宋_GB2312"/>
          <w:color w:val="000000"/>
          <w:sz w:val="32"/>
          <w:szCs w:val="32"/>
          <w:lang w:eastAsia="zh-CN"/>
        </w:rPr>
        <w:t>。</w:t>
      </w:r>
    </w:p>
    <w:bookmarkEnd w:id="0"/>
    <w:bookmarkEnd w:id="1"/>
    <w:bookmarkEnd w:id="2"/>
    <w:bookmarkEnd w:id="3"/>
    <w:bookmarkEnd w:id="4"/>
    <w:p w14:paraId="72328849">
      <w:pPr>
        <w:pStyle w:val="31"/>
        <w:widowControl w:val="0"/>
        <w:adjustRightInd w:val="0"/>
        <w:snapToGrid w:val="0"/>
        <w:spacing w:beforeLines="0" w:afterLines="0" w:line="570" w:lineRule="exact"/>
        <w:jc w:val="both"/>
        <w:rPr>
          <w:rFonts w:hint="eastAsia" w:ascii="Times New Roman" w:hAnsi="Times New Roman" w:eastAsia="方正仿宋_GBK"/>
          <w:sz w:val="32"/>
          <w:szCs w:val="32"/>
        </w:rPr>
      </w:pPr>
    </w:p>
    <w:sectPr>
      <w:headerReference r:id="rId5" w:type="default"/>
      <w:footerReference r:id="rId6" w:type="default"/>
      <w:pgSz w:w="11906" w:h="16838"/>
      <w:pgMar w:top="1962" w:right="1474" w:bottom="1848"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632107-0D9E-4DDA-816E-9510648B9A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altName w:val="宋体"/>
    <w:panose1 w:val="00000000000000000000"/>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8A8DD187-11E9-461B-A54D-32034BE9F568}"/>
  </w:font>
  <w:font w:name="方正书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3" w:fontKey="{DEBC3AB2-3ABD-41CC-88AA-FE3083BDBC06}"/>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CD0C4">
    <w:pPr>
      <w:pStyle w:val="12"/>
      <w:ind w:left="5016" w:leftChars="2280" w:firstLine="6400" w:firstLineChars="2000"/>
      <w:rPr>
        <w:rFonts w:hint="eastAsia" w:eastAsia="仿宋"/>
        <w:sz w:val="32"/>
        <w:szCs w:val="48"/>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23A25A6">
                          <w:pPr>
                            <w:pStyle w:val="11"/>
                            <w:rPr>
                              <w:rFonts w:hint="eastAsia"/>
                            </w:rPr>
                          </w:pPr>
                          <w:r>
                            <w:rPr>
                              <w:rFonts w:hint="eastAsia" w:ascii="宋体" w:hAnsi="宋体" w:cs="宋体"/>
                              <w:color w:val="FFFFFF"/>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color w:val="FFFFFF"/>
                              <w:sz w:val="28"/>
                              <w:szCs w:val="28"/>
                            </w:rPr>
                            <w:t>—</w:t>
                          </w:r>
                        </w:p>
                      </w:txbxContent>
                    </wps:txbx>
                    <wps:bodyPr vert="horz" wrap="none" lIns="0" tIns="0" rIns="0" bIns="0" anchor="t" anchorCtr="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HWWXrgAQAAuwMAAA4AAABkcnMvZTJvRG9jLnhtbK1TS27bMBDdF8gd&#10;CO5jKQ4aCILpoK2RoEDRFkh7AJqiLAL8gUNbcg/Q3qCrbrrvuXyODCnJKdJNFt1IQ87Mm3lvhqvb&#10;wWhykAGUs4xeLUpKpBWuUXbH6Ncvd5cVJRC5bbh2VjJ6lEBv1xevVr2v5dJ1TjcyEASxUPee0S5G&#10;XxcFiE4aDgvnpUVn64LhEY9hVzSB94hudLEsy5uid6HxwQkJgLeb0UknxPASQNe2SsiNE3sjbRxR&#10;g9Q8IiXolAe6zt22rRTxU9uCjEQzikxj/mIRtLfpW6xXvN4F7jslphb4S1p4xslwZbHoGWrDIyf7&#10;oP6BMkoEB66NC+FMMRLJiiCLq/KZNg8d9zJzQanBn0WH/wcrPh4+B6IaRpeUWG5w4KefP06//px+&#10;fydVkqf3UGPUg8e4OLx1Ay7NfA94mVgPbTDpj3wI+lHc41lcOUQiUlK1rKoSXQJ98wHxi6d0HyDe&#10;S2dIMhgNOL0sKj98gDiGziGpmnV3Sus8QW1Jz+jN9esyJ5w9CK4t1kgkxmaTFYftMDHbuuaIxPA9&#10;YMHOhW+U9LgNjFpcfkr0e4tip8WZjTAb29ngVmAio5GS0XwX84KlFsG/2UdsM3efSo/1po5wppn/&#10;tH9paf4+56inN7d+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NJWO7QAAAABQEAAA8AAAAAAAAA&#10;AQAgAAAAIgAAAGRycy9kb3ducmV2LnhtbFBLAQIUABQAAAAIAIdO4kCR1ll64AEAALsDAAAOAAAA&#10;AAAAAAEAIAAAAB8BAABkcnMvZTJvRG9jLnhtbFBLBQYAAAAABgAGAFkBAABxBQAAAAA=&#10;">
              <v:fill on="f" focussize="0,0"/>
              <v:stroke on="f" weight="0.5pt"/>
              <v:imagedata o:title=""/>
              <o:lock v:ext="edit" aspectratio="f"/>
              <v:textbox inset="0mm,0mm,0mm,0mm" style="mso-fit-shape-to-text:t;">
                <w:txbxContent>
                  <w:p w14:paraId="223A25A6">
                    <w:pPr>
                      <w:pStyle w:val="11"/>
                      <w:rPr>
                        <w:rFonts w:hint="eastAsia"/>
                      </w:rPr>
                    </w:pPr>
                    <w:r>
                      <w:rPr>
                        <w:rFonts w:hint="eastAsia" w:ascii="宋体" w:hAnsi="宋体" w:cs="宋体"/>
                        <w:color w:val="FFFFFF"/>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color w:val="FFFFFF"/>
                        <w:sz w:val="28"/>
                        <w:szCs w:val="28"/>
                      </w:rPr>
                      <w:t>—</w:t>
                    </w:r>
                  </w:p>
                </w:txbxContent>
              </v:textbox>
            </v:shape>
          </w:pict>
        </mc:Fallback>
      </mc:AlternateContent>
    </w:r>
    <w:r>
      <w:rPr>
        <w:rFonts w:hint="eastAsia" w:eastAsia="仿宋"/>
        <w:sz w:val="32"/>
        <w:szCs w:val="48"/>
      </w:rPr>
      <w:t xml:space="preserve">  </w:t>
    </w:r>
  </w:p>
  <w:p w14:paraId="0D358D08">
    <w:pPr>
      <w:pStyle w:val="12"/>
      <w:wordWrap w:val="0"/>
      <w:ind w:left="5016" w:leftChars="2280" w:firstLine="6400" w:firstLineChars="2000"/>
      <w:jc w:val="right"/>
      <w:rPr>
        <w:rFonts w:hint="eastAsia" w:ascii="宋体" w:hAnsi="宋体" w:cs="宋体"/>
        <w:b/>
        <w:bCs/>
        <w:color w:val="005192"/>
        <w:sz w:val="28"/>
        <w:szCs w:val="44"/>
      </w:rPr>
    </w:pPr>
    <w:r>
      <w:rPr>
        <w:rFonts w:hint="eastAsia" w:eastAsia="仿宋"/>
        <w:sz w:val="32"/>
        <w:szCs w:val="48"/>
      </w:rPr>
      <w:t>X</w:t>
    </w:r>
    <w:r>
      <w:rPr>
        <w:rFonts w:hint="eastAsia" w:ascii="宋体" w:hAnsi="宋体" w:cs="宋体"/>
        <w:b/>
        <w:bCs/>
        <w:color w:val="005192"/>
        <w:sz w:val="28"/>
        <w:szCs w:val="44"/>
      </w:rPr>
      <w:t xml:space="preserve">     </w:t>
    </w:r>
  </w:p>
  <w:p w14:paraId="218C6C50">
    <w:pPr>
      <w:pStyle w:val="12"/>
      <w:wordWrap w:val="0"/>
      <w:ind w:left="5016" w:leftChars="2280" w:firstLine="5622" w:firstLineChars="2000"/>
      <w:jc w:val="right"/>
      <w:rPr>
        <w:rFonts w:hint="eastAsia" w:ascii="宋体" w:hAnsi="宋体" w:cs="宋体"/>
        <w:b/>
        <w:bCs/>
        <w:color w:val="005192"/>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B79D2">
    <w:pPr>
      <w:pStyle w:val="12"/>
      <w:ind w:left="5016" w:leftChars="2280" w:firstLine="6400" w:firstLineChars="2000"/>
      <w:rPr>
        <w:rFonts w:hint="eastAsia" w:eastAsia="仿宋"/>
        <w:sz w:val="32"/>
        <w:szCs w:val="48"/>
      </w:rPr>
    </w:pPr>
    <w:r>
      <w:rPr>
        <w:sz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A3DAE81">
                          <w:pPr>
                            <w:pStyle w:val="11"/>
                            <w:rPr>
                              <w:rFonts w:hint="eastAsia"/>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wps:txbx>
                    <wps:bodyPr vert="horz" wrap="none" lIns="0" tIns="0" rIns="0" bIns="0" anchor="t" anchorCtr="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tNCvfAQAAuwMAAA4AAABkcnMvZTJvRG9jLnhtbK1TzY7TMBC+I/EO&#10;lu802SJWUdR0BVSLkBAgLTyA6ziNJf/JM21SHgDegBMX7jxXn2PHTtpFy2UPXJLx/Hwz3+fx6ma0&#10;hh1UBO1dw68WJWfKSd9qt2v41y+3LyrOAIVrhfFONfyogN+snz9bDaFWS99706rICMRBPYSG94ih&#10;LgqQvbICFj4oR8HORyuQjnFXtFEMhG5NsSzL62LwsQ3RSwVA3s0U5DNifAqg7zot1cbLvVUOJ9So&#10;jECiBL0OwNd52q5TEj91HShkpuHEFPOXmpC9Td9ivRL1LorQazmPIJ4ywiNOVmhHTS9QG4GC7aP+&#10;B8pqGT34DhfS22IikhUhFlflI23uehFU5kJSQ7iIDv8PVn48fI5Mt7QJnDlh6cJPP3+cfv05/f7O&#10;qiTPEKCmrLtAeTi+8WNKnf1AzsR67KJNf+LDKE7iHi/iqhGZTEXVsqpKCkmKnQ+EUzyUhwj4TnnL&#10;ktHwSLeXRRWHD4BT6jkldXP+VhtDflEbx4aGX798VeaCS4TAjaMeicQ0bLJw3I4zg61vj0SM3gM1&#10;7H38xtlA29BwR8vPmXnvSOy0OGcjno3t2RBOUmHDkbPJfIt5wdJcEF7vkcbM06fWU795IrrTzH/e&#10;v7Q0f59z1sObW9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0lY7tAAAAAFAQAADwAAAAAAAAAB&#10;ACAAAAAiAAAAZHJzL2Rvd25yZXYueG1sUEsBAhQAFAAAAAgAh07iQEFtNCvfAQAAuwMAAA4AAAAA&#10;AAAAAQAgAAAAHwEAAGRycy9lMm9Eb2MueG1sUEsFBgAAAAAGAAYAWQEAAHAFAAAAAA==&#10;">
              <v:fill on="f" focussize="0,0"/>
              <v:stroke on="f" weight="0.5pt"/>
              <v:imagedata o:title=""/>
              <o:lock v:ext="edit" aspectratio="f"/>
              <v:textbox inset="0mm,0mm,0mm,0mm" style="mso-fit-shape-to-text:t;">
                <w:txbxContent>
                  <w:p w14:paraId="7A3DAE81">
                    <w:pPr>
                      <w:pStyle w:val="11"/>
                      <w:rPr>
                        <w:rFonts w:hint="eastAsia"/>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14:paraId="705FE6BF">
    <w:pPr>
      <w:pStyle w:val="12"/>
      <w:wordWrap w:val="0"/>
      <w:ind w:left="5016" w:leftChars="2280" w:firstLine="6400" w:firstLineChars="2000"/>
      <w:jc w:val="right"/>
      <w:rPr>
        <w:rFonts w:hint="eastAsia" w:ascii="宋体" w:hAnsi="宋体" w:cs="宋体"/>
        <w:b/>
        <w:bCs/>
        <w:color w:val="005192"/>
        <w:sz w:val="28"/>
        <w:szCs w:val="44"/>
      </w:rPr>
    </w:pPr>
    <w:r>
      <w:rPr>
        <w:rFonts w:hint="eastAsia" w:eastAsia="仿宋"/>
        <w:sz w:val="32"/>
        <w:szCs w:val="48"/>
      </w:rPr>
      <w:t>X</w:t>
    </w:r>
    <w:r>
      <w:rPr>
        <w:rFonts w:hint="eastAsia" w:ascii="宋体" w:hAnsi="宋体" w:cs="宋体"/>
        <w:b/>
        <w:bCs/>
        <w:color w:val="005192"/>
        <w:sz w:val="28"/>
        <w:szCs w:val="44"/>
      </w:rPr>
      <w:t xml:space="preserve">  </w:t>
    </w:r>
  </w:p>
  <w:p w14:paraId="5CFFB9FA">
    <w:pPr>
      <w:pStyle w:val="12"/>
      <w:wordWrap w:val="0"/>
      <w:ind w:left="5016" w:leftChars="2280" w:firstLine="5622" w:firstLineChars="2000"/>
      <w:jc w:val="right"/>
      <w:rPr>
        <w:rFonts w:hint="eastAsia"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E8072">
    <w:pPr>
      <w:pStyle w:val="12"/>
      <w:widowControl w:val="0"/>
      <w:textAlignment w:val="center"/>
      <w:rPr>
        <w:rFonts w:hint="eastAsia" w:ascii="宋体" w:hAnsi="宋体" w:cs="宋体"/>
        <w:b/>
        <w:bCs/>
        <w:color w:val="005192"/>
        <w:sz w:val="32"/>
      </w:rPr>
    </w:pPr>
  </w:p>
  <w:p w14:paraId="1AA28151">
    <w:pPr>
      <w:pStyle w:val="12"/>
      <w:widowControl w:val="0"/>
      <w:textAlignment w:val="center"/>
      <w:rPr>
        <w:rFonts w:hint="eastAsia" w:ascii="宋体" w:hAnsi="宋体" w:cs="宋体"/>
        <w:b/>
        <w:bCs/>
        <w:color w:val="005192"/>
        <w:sz w:val="32"/>
        <w:szCs w:val="3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D529D">
    <w:pPr>
      <w:pStyle w:val="12"/>
      <w:widowControl w:val="0"/>
      <w:textAlignment w:val="center"/>
      <w:rPr>
        <w:rFonts w:hint="eastAsia" w:ascii="宋体" w:hAnsi="宋体" w:cs="宋体"/>
        <w:b/>
        <w:bCs/>
        <w:color w:val="005192"/>
        <w:sz w:val="32"/>
      </w:rPr>
    </w:pPr>
  </w:p>
  <w:p w14:paraId="56E5DEE7">
    <w:pPr>
      <w:pStyle w:val="12"/>
      <w:widowControl w:val="0"/>
      <w:textAlignment w:val="center"/>
      <w:rPr>
        <w:rFonts w:hint="eastAsia" w:ascii="宋体" w:hAnsi="宋体" w:cs="宋体"/>
        <w:b/>
        <w:bCs/>
        <w:color w:val="005192"/>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011D9"/>
    <w:rsid w:val="000162D9"/>
    <w:rsid w:val="000C339A"/>
    <w:rsid w:val="001B12F6"/>
    <w:rsid w:val="001B18A6"/>
    <w:rsid w:val="0026411E"/>
    <w:rsid w:val="0026507C"/>
    <w:rsid w:val="002B4BE2"/>
    <w:rsid w:val="002F1BC8"/>
    <w:rsid w:val="0044133B"/>
    <w:rsid w:val="004E0F36"/>
    <w:rsid w:val="004F1CE8"/>
    <w:rsid w:val="00574CAC"/>
    <w:rsid w:val="005B4594"/>
    <w:rsid w:val="005D1574"/>
    <w:rsid w:val="006539EE"/>
    <w:rsid w:val="006C366A"/>
    <w:rsid w:val="007A5203"/>
    <w:rsid w:val="008147C9"/>
    <w:rsid w:val="00A11BFB"/>
    <w:rsid w:val="00C22F1F"/>
    <w:rsid w:val="00C243EB"/>
    <w:rsid w:val="00C47986"/>
    <w:rsid w:val="00CE518B"/>
    <w:rsid w:val="00E7494F"/>
    <w:rsid w:val="00EF4934"/>
    <w:rsid w:val="00F82F26"/>
    <w:rsid w:val="019E71BD"/>
    <w:rsid w:val="01FF4141"/>
    <w:rsid w:val="03903549"/>
    <w:rsid w:val="03D259C4"/>
    <w:rsid w:val="03D5179E"/>
    <w:rsid w:val="040E5F0C"/>
    <w:rsid w:val="049A177F"/>
    <w:rsid w:val="052D2952"/>
    <w:rsid w:val="059F4B18"/>
    <w:rsid w:val="06746E4E"/>
    <w:rsid w:val="06A67E67"/>
    <w:rsid w:val="07B70BD6"/>
    <w:rsid w:val="080D570E"/>
    <w:rsid w:val="080F63D8"/>
    <w:rsid w:val="08600E4C"/>
    <w:rsid w:val="08CE1E5E"/>
    <w:rsid w:val="08D25852"/>
    <w:rsid w:val="08D65E13"/>
    <w:rsid w:val="09341458"/>
    <w:rsid w:val="098C7CDE"/>
    <w:rsid w:val="09E63F3E"/>
    <w:rsid w:val="09ED279D"/>
    <w:rsid w:val="0A213DC3"/>
    <w:rsid w:val="0A214429"/>
    <w:rsid w:val="0A934E6F"/>
    <w:rsid w:val="0C2427FC"/>
    <w:rsid w:val="0C360E94"/>
    <w:rsid w:val="0C680C35"/>
    <w:rsid w:val="0C783BC9"/>
    <w:rsid w:val="0C9F0420"/>
    <w:rsid w:val="0D336F35"/>
    <w:rsid w:val="0DE35676"/>
    <w:rsid w:val="0E834745"/>
    <w:rsid w:val="0F8A6362"/>
    <w:rsid w:val="103B499E"/>
    <w:rsid w:val="10453240"/>
    <w:rsid w:val="10D85EF3"/>
    <w:rsid w:val="13D221E3"/>
    <w:rsid w:val="14315C5F"/>
    <w:rsid w:val="149A4376"/>
    <w:rsid w:val="152D2DCA"/>
    <w:rsid w:val="1678273A"/>
    <w:rsid w:val="1686190B"/>
    <w:rsid w:val="16E07CF1"/>
    <w:rsid w:val="173073DC"/>
    <w:rsid w:val="17E72E73"/>
    <w:rsid w:val="188F1247"/>
    <w:rsid w:val="1A4C28BA"/>
    <w:rsid w:val="1BA862CE"/>
    <w:rsid w:val="1BB943E1"/>
    <w:rsid w:val="1C666C80"/>
    <w:rsid w:val="1E587888"/>
    <w:rsid w:val="1E883E14"/>
    <w:rsid w:val="1EB747E2"/>
    <w:rsid w:val="1F443188"/>
    <w:rsid w:val="21C75491"/>
    <w:rsid w:val="22440422"/>
    <w:rsid w:val="225D333E"/>
    <w:rsid w:val="22B57D27"/>
    <w:rsid w:val="23AC05F7"/>
    <w:rsid w:val="245D0A8D"/>
    <w:rsid w:val="248C149F"/>
    <w:rsid w:val="249364B0"/>
    <w:rsid w:val="24EA660F"/>
    <w:rsid w:val="25E71D3E"/>
    <w:rsid w:val="269E1109"/>
    <w:rsid w:val="294B5443"/>
    <w:rsid w:val="29B90605"/>
    <w:rsid w:val="2A38266E"/>
    <w:rsid w:val="2AD36C20"/>
    <w:rsid w:val="2B117397"/>
    <w:rsid w:val="2B5E0CA1"/>
    <w:rsid w:val="2BAB5B3A"/>
    <w:rsid w:val="2C0B1AE4"/>
    <w:rsid w:val="2D82591C"/>
    <w:rsid w:val="2DEF5948"/>
    <w:rsid w:val="2E793254"/>
    <w:rsid w:val="2EEF6E76"/>
    <w:rsid w:val="30A02732"/>
    <w:rsid w:val="31084ADC"/>
    <w:rsid w:val="31A15F24"/>
    <w:rsid w:val="33977EBB"/>
    <w:rsid w:val="33B55A25"/>
    <w:rsid w:val="33F23BEC"/>
    <w:rsid w:val="33F82638"/>
    <w:rsid w:val="34FA7214"/>
    <w:rsid w:val="35143B97"/>
    <w:rsid w:val="358F038F"/>
    <w:rsid w:val="36B30199"/>
    <w:rsid w:val="378E7983"/>
    <w:rsid w:val="38394926"/>
    <w:rsid w:val="38511CCB"/>
    <w:rsid w:val="39A232A0"/>
    <w:rsid w:val="3AF833AE"/>
    <w:rsid w:val="3B5A6BBB"/>
    <w:rsid w:val="3B8C2E48"/>
    <w:rsid w:val="3C360C63"/>
    <w:rsid w:val="3CDC3508"/>
    <w:rsid w:val="3D1436A3"/>
    <w:rsid w:val="3EDA13A6"/>
    <w:rsid w:val="3F056B39"/>
    <w:rsid w:val="3F4531C8"/>
    <w:rsid w:val="3F5148AB"/>
    <w:rsid w:val="3F832E75"/>
    <w:rsid w:val="41583876"/>
    <w:rsid w:val="418D0913"/>
    <w:rsid w:val="41DD2916"/>
    <w:rsid w:val="424F0925"/>
    <w:rsid w:val="426E51AF"/>
    <w:rsid w:val="42DA1449"/>
    <w:rsid w:val="42F058B7"/>
    <w:rsid w:val="432E7A4D"/>
    <w:rsid w:val="4334407A"/>
    <w:rsid w:val="43377335"/>
    <w:rsid w:val="43415F3F"/>
    <w:rsid w:val="436109F6"/>
    <w:rsid w:val="43703F74"/>
    <w:rsid w:val="43CC15C1"/>
    <w:rsid w:val="43E2666C"/>
    <w:rsid w:val="440267FB"/>
    <w:rsid w:val="441A38D4"/>
    <w:rsid w:val="452F3649"/>
    <w:rsid w:val="4536555C"/>
    <w:rsid w:val="45462836"/>
    <w:rsid w:val="45BE5862"/>
    <w:rsid w:val="45EF07DF"/>
    <w:rsid w:val="464A69E4"/>
    <w:rsid w:val="468F14DA"/>
    <w:rsid w:val="4695723A"/>
    <w:rsid w:val="47880693"/>
    <w:rsid w:val="47B250FC"/>
    <w:rsid w:val="4920500D"/>
    <w:rsid w:val="49C050BB"/>
    <w:rsid w:val="49CE52FC"/>
    <w:rsid w:val="4B1575F7"/>
    <w:rsid w:val="4B502C46"/>
    <w:rsid w:val="4B6658E2"/>
    <w:rsid w:val="4B8361D2"/>
    <w:rsid w:val="4BC77339"/>
    <w:rsid w:val="4C754DCC"/>
    <w:rsid w:val="4C9236C5"/>
    <w:rsid w:val="4D3C2FCE"/>
    <w:rsid w:val="4D492532"/>
    <w:rsid w:val="4E333DCA"/>
    <w:rsid w:val="4E8D1501"/>
    <w:rsid w:val="4EC2312F"/>
    <w:rsid w:val="4F26366F"/>
    <w:rsid w:val="4F5C2681"/>
    <w:rsid w:val="500770E3"/>
    <w:rsid w:val="50C54DC4"/>
    <w:rsid w:val="50F86965"/>
    <w:rsid w:val="51A97078"/>
    <w:rsid w:val="523E38AE"/>
    <w:rsid w:val="52547F10"/>
    <w:rsid w:val="52F46F0B"/>
    <w:rsid w:val="530820AA"/>
    <w:rsid w:val="538D3C6F"/>
    <w:rsid w:val="53C92A72"/>
    <w:rsid w:val="54213B2B"/>
    <w:rsid w:val="5482143F"/>
    <w:rsid w:val="54EB4981"/>
    <w:rsid w:val="5578369C"/>
    <w:rsid w:val="55A842FE"/>
    <w:rsid w:val="55E064E0"/>
    <w:rsid w:val="56A31B56"/>
    <w:rsid w:val="56AD77E4"/>
    <w:rsid w:val="570019CB"/>
    <w:rsid w:val="57034611"/>
    <w:rsid w:val="57733A0F"/>
    <w:rsid w:val="58852C47"/>
    <w:rsid w:val="58A73AA5"/>
    <w:rsid w:val="58C72E4D"/>
    <w:rsid w:val="591C0B53"/>
    <w:rsid w:val="5B940D21"/>
    <w:rsid w:val="5BC80AE6"/>
    <w:rsid w:val="5CDD1E3D"/>
    <w:rsid w:val="6079235F"/>
    <w:rsid w:val="608816D1"/>
    <w:rsid w:val="608C3B40"/>
    <w:rsid w:val="63145E8F"/>
    <w:rsid w:val="63985D4A"/>
    <w:rsid w:val="65E21441"/>
    <w:rsid w:val="65F75271"/>
    <w:rsid w:val="685C0BC8"/>
    <w:rsid w:val="68BD12DE"/>
    <w:rsid w:val="6A37444C"/>
    <w:rsid w:val="6D0E3F22"/>
    <w:rsid w:val="6D134D8D"/>
    <w:rsid w:val="6D5C357D"/>
    <w:rsid w:val="6DDE1645"/>
    <w:rsid w:val="6E695FAC"/>
    <w:rsid w:val="71D60534"/>
    <w:rsid w:val="734C6C81"/>
    <w:rsid w:val="7377469B"/>
    <w:rsid w:val="73E72C65"/>
    <w:rsid w:val="750E6848"/>
    <w:rsid w:val="76593B9A"/>
    <w:rsid w:val="76F46FDE"/>
    <w:rsid w:val="776D72F2"/>
    <w:rsid w:val="787D38A8"/>
    <w:rsid w:val="790668DE"/>
    <w:rsid w:val="79230809"/>
    <w:rsid w:val="79420601"/>
    <w:rsid w:val="79585333"/>
    <w:rsid w:val="7A9C643F"/>
    <w:rsid w:val="7C0D6DF1"/>
    <w:rsid w:val="7C1B4D78"/>
    <w:rsid w:val="7C9011D9"/>
    <w:rsid w:val="7CEC0659"/>
    <w:rsid w:val="7DC651C5"/>
    <w:rsid w:val="7DCB23AA"/>
    <w:rsid w:val="7E3B3D7F"/>
    <w:rsid w:val="7EE36DA7"/>
    <w:rsid w:val="7EFE1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9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qFormat/>
    <w:uiPriority w:val="0"/>
    <w:pPr>
      <w:spacing w:line="560" w:lineRule="exact"/>
      <w:ind w:firstLine="640" w:firstLineChars="200"/>
      <w:outlineLvl w:val="0"/>
    </w:pPr>
    <w:rPr>
      <w:rFonts w:hint="eastAsia" w:ascii="宋体" w:hAnsi="宋体" w:eastAsia="黑体"/>
      <w:bCs/>
      <w:kern w:val="44"/>
      <w:sz w:val="32"/>
      <w:szCs w:val="48"/>
    </w:rPr>
  </w:style>
  <w:style w:type="paragraph" w:styleId="4">
    <w:name w:val="heading 2"/>
    <w:basedOn w:val="1"/>
    <w:next w:val="1"/>
    <w:qFormat/>
    <w:uiPriority w:val="0"/>
    <w:pPr>
      <w:keepNext/>
      <w:keepLines/>
      <w:spacing w:line="560" w:lineRule="exact"/>
      <w:ind w:firstLine="640" w:firstLineChars="200"/>
      <w:outlineLvl w:val="1"/>
    </w:pPr>
    <w:rPr>
      <w:rFonts w:ascii="黑体" w:hAnsi="黑体" w:eastAsia="楷体_GB2312"/>
      <w:bCs/>
      <w:sz w:val="32"/>
      <w:szCs w:val="32"/>
    </w:rPr>
  </w:style>
  <w:style w:type="paragraph" w:styleId="2">
    <w:name w:val="heading 3"/>
    <w:basedOn w:val="1"/>
    <w:next w:val="1"/>
    <w:unhideWhenUsed/>
    <w:qFormat/>
    <w:uiPriority w:val="0"/>
    <w:pPr>
      <w:spacing w:line="500" w:lineRule="exact"/>
      <w:outlineLvl w:val="2"/>
    </w:pPr>
    <w:rPr>
      <w:rFonts w:hint="eastAsia" w:ascii="宋体" w:hAnsi="宋体" w:eastAsia="仿宋_GB2312"/>
      <w:bCs/>
      <w:sz w:val="32"/>
      <w:szCs w:val="27"/>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630"/>
    </w:pPr>
    <w:rPr>
      <w:rFonts w:ascii="Times New Roman" w:hAnsi="Times New Roman" w:eastAsia="仿宋_GB2312"/>
      <w:sz w:val="32"/>
      <w:szCs w:val="20"/>
    </w:rPr>
  </w:style>
  <w:style w:type="paragraph" w:styleId="6">
    <w:name w:val="annotation text"/>
    <w:basedOn w:val="1"/>
    <w:link w:val="41"/>
    <w:qFormat/>
    <w:uiPriority w:val="0"/>
  </w:style>
  <w:style w:type="paragraph" w:styleId="7">
    <w:name w:val="Body Text"/>
    <w:basedOn w:val="1"/>
    <w:next w:val="8"/>
    <w:qFormat/>
    <w:uiPriority w:val="0"/>
    <w:pPr>
      <w:spacing w:after="120"/>
    </w:pPr>
    <w:rPr>
      <w:rFonts w:hAnsi="Calibri"/>
    </w:rPr>
  </w:style>
  <w:style w:type="paragraph" w:styleId="8">
    <w:name w:val="toc 5"/>
    <w:basedOn w:val="1"/>
    <w:next w:val="1"/>
    <w:qFormat/>
    <w:uiPriority w:val="99"/>
    <w:pPr>
      <w:ind w:left="1680" w:leftChars="800"/>
    </w:pPr>
    <w:rPr>
      <w:rFonts w:ascii="Times New Roman" w:hAnsi="Times New Roman"/>
    </w:rPr>
  </w:style>
  <w:style w:type="paragraph" w:styleId="9">
    <w:name w:val="toc 3"/>
    <w:basedOn w:val="1"/>
    <w:next w:val="1"/>
    <w:qFormat/>
    <w:uiPriority w:val="39"/>
    <w:pPr>
      <w:ind w:left="840" w:leftChars="400"/>
    </w:pPr>
  </w:style>
  <w:style w:type="paragraph" w:styleId="10">
    <w:name w:val="Plain Text"/>
    <w:basedOn w:val="1"/>
    <w:qFormat/>
    <w:uiPriority w:val="0"/>
    <w:pPr>
      <w:spacing w:line="520" w:lineRule="exact"/>
    </w:pPr>
    <w:rPr>
      <w:rFonts w:hAnsi="Courier New"/>
      <w:szCs w:val="20"/>
      <w:lang w:val="zh-CN"/>
    </w:rPr>
  </w:style>
  <w:style w:type="paragraph" w:styleId="11">
    <w:name w:val="footer"/>
    <w:basedOn w:val="1"/>
    <w:qFormat/>
    <w:uiPriority w:val="0"/>
    <w:pPr>
      <w:tabs>
        <w:tab w:val="center" w:pos="4153"/>
        <w:tab w:val="right" w:pos="8306"/>
      </w:tabs>
      <w:snapToGrid w:val="0"/>
    </w:pPr>
    <w:rPr>
      <w:sz w:val="18"/>
    </w:rPr>
  </w:style>
  <w:style w:type="paragraph" w:styleId="12">
    <w:name w:val="header"/>
    <w:basedOn w:val="1"/>
    <w:next w:val="1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3">
    <w:name w:val="toc 1"/>
    <w:basedOn w:val="1"/>
    <w:next w:val="1"/>
    <w:qFormat/>
    <w:uiPriority w:val="39"/>
    <w:pPr>
      <w:spacing w:line="300" w:lineRule="exact"/>
    </w:pPr>
    <w:rPr>
      <w:rFonts w:hAnsi="Calibri"/>
      <w:sz w:val="28"/>
    </w:rPr>
  </w:style>
  <w:style w:type="paragraph" w:styleId="14">
    <w:name w:val="toc 2"/>
    <w:basedOn w:val="1"/>
    <w:next w:val="1"/>
    <w:qFormat/>
    <w:uiPriority w:val="39"/>
    <w:pPr>
      <w:ind w:left="420" w:leftChars="200"/>
    </w:pPr>
  </w:style>
  <w:style w:type="paragraph" w:styleId="15">
    <w:name w:val="Normal (Web)"/>
    <w:basedOn w:val="1"/>
    <w:qFormat/>
    <w:uiPriority w:val="0"/>
    <w:pPr>
      <w:spacing w:before="100" w:beforeAutospacing="1" w:after="100" w:afterAutospacing="1"/>
    </w:pPr>
    <w:rPr>
      <w:sz w:val="24"/>
    </w:rPr>
  </w:style>
  <w:style w:type="paragraph" w:styleId="16">
    <w:name w:val="annotation subject"/>
    <w:basedOn w:val="6"/>
    <w:next w:val="6"/>
    <w:link w:val="42"/>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character" w:styleId="22">
    <w:name w:val="Hyperlink"/>
    <w:basedOn w:val="19"/>
    <w:qFormat/>
    <w:uiPriority w:val="0"/>
    <w:rPr>
      <w:color w:val="0000FF"/>
      <w:u w:val="single"/>
    </w:rPr>
  </w:style>
  <w:style w:type="character" w:styleId="23">
    <w:name w:val="annotation reference"/>
    <w:basedOn w:val="19"/>
    <w:qFormat/>
    <w:uiPriority w:val="0"/>
    <w:rPr>
      <w:sz w:val="21"/>
      <w:szCs w:val="21"/>
    </w:rPr>
  </w:style>
  <w:style w:type="paragraph" w:customStyle="1" w:styleId="24">
    <w:name w:val="样式4"/>
    <w:basedOn w:val="1"/>
    <w:next w:val="1"/>
    <w:qFormat/>
    <w:uiPriority w:val="0"/>
    <w:pPr>
      <w:spacing w:beforeAutospacing="1" w:afterAutospacing="1"/>
      <w:outlineLvl w:val="0"/>
    </w:pPr>
    <w:rPr>
      <w:rFonts w:hint="eastAsia" w:ascii="宋体" w:hAnsi="宋体" w:eastAsia="黑体"/>
      <w:b/>
      <w:bCs/>
      <w:kern w:val="44"/>
      <w:sz w:val="32"/>
      <w:szCs w:val="48"/>
    </w:rPr>
  </w:style>
  <w:style w:type="character" w:customStyle="1" w:styleId="25">
    <w:name w:val="font11"/>
    <w:basedOn w:val="19"/>
    <w:qFormat/>
    <w:uiPriority w:val="0"/>
    <w:rPr>
      <w:rFonts w:hint="eastAsia" w:ascii="宋体" w:hAnsi="宋体" w:eastAsia="宋体" w:cs="宋体"/>
      <w:color w:val="000000"/>
      <w:sz w:val="20"/>
      <w:szCs w:val="20"/>
      <w:u w:val="none"/>
    </w:rPr>
  </w:style>
  <w:style w:type="character" w:customStyle="1" w:styleId="26">
    <w:name w:val="font51"/>
    <w:basedOn w:val="19"/>
    <w:qFormat/>
    <w:uiPriority w:val="0"/>
    <w:rPr>
      <w:rFonts w:hint="eastAsia" w:ascii="宋体" w:hAnsi="宋体" w:eastAsia="宋体" w:cs="宋体"/>
      <w:color w:val="000000"/>
      <w:sz w:val="20"/>
      <w:szCs w:val="20"/>
      <w:u w:val="none"/>
    </w:rPr>
  </w:style>
  <w:style w:type="character" w:customStyle="1" w:styleId="27">
    <w:name w:val="font21"/>
    <w:basedOn w:val="19"/>
    <w:qFormat/>
    <w:uiPriority w:val="0"/>
    <w:rPr>
      <w:rFonts w:hint="default" w:ascii="Times New Roman" w:hAnsi="Times New Roman" w:cs="Times New Roman"/>
      <w:color w:val="000000"/>
      <w:sz w:val="20"/>
      <w:szCs w:val="20"/>
      <w:u w:val="none"/>
    </w:rPr>
  </w:style>
  <w:style w:type="character" w:customStyle="1" w:styleId="28">
    <w:name w:val="font61"/>
    <w:basedOn w:val="19"/>
    <w:qFormat/>
    <w:uiPriority w:val="0"/>
    <w:rPr>
      <w:rFonts w:hint="default" w:ascii="Times New Roman" w:hAnsi="Times New Roman" w:cs="Times New Roman"/>
      <w:color w:val="000000"/>
      <w:sz w:val="20"/>
      <w:szCs w:val="20"/>
      <w:u w:val="none"/>
    </w:rPr>
  </w:style>
  <w:style w:type="paragraph" w:customStyle="1" w:styleId="29">
    <w:name w:val="样式 样式3 + 段前: 1 行 段后: 1.5 行"/>
    <w:basedOn w:val="30"/>
    <w:qFormat/>
    <w:uiPriority w:val="0"/>
    <w:pPr>
      <w:spacing w:after="100" w:afterLines="100"/>
    </w:pPr>
    <w:rPr>
      <w:rFonts w:cs="宋体"/>
      <w:szCs w:val="20"/>
    </w:rPr>
  </w:style>
  <w:style w:type="paragraph" w:customStyle="1" w:styleId="30">
    <w:name w:val="样式3"/>
    <w:basedOn w:val="1"/>
    <w:qFormat/>
    <w:uiPriority w:val="0"/>
    <w:pPr>
      <w:widowControl w:val="0"/>
      <w:adjustRightInd w:val="0"/>
      <w:snapToGrid w:val="0"/>
      <w:spacing w:before="100" w:beforeLines="100" w:after="150" w:afterLines="150" w:line="600" w:lineRule="exact"/>
      <w:jc w:val="center"/>
    </w:pPr>
    <w:rPr>
      <w:rFonts w:ascii="方正书宋简体" w:hAnsi="方正书宋简体" w:eastAsia="楷体_GB2312"/>
      <w:color w:val="000000"/>
      <w:sz w:val="31"/>
      <w:szCs w:val="31"/>
    </w:rPr>
  </w:style>
  <w:style w:type="paragraph" w:customStyle="1" w:styleId="31">
    <w:name w:val="一级标题（二号小标宋）"/>
    <w:basedOn w:val="1"/>
    <w:qFormat/>
    <w:uiPriority w:val="0"/>
    <w:pPr>
      <w:jc w:val="center"/>
    </w:pPr>
    <w:rPr>
      <w:rFonts w:ascii="方正书宋简体" w:hAnsi="方正书宋简体" w:eastAsia="方正小标宋_GBK"/>
      <w:color w:val="000000"/>
      <w:sz w:val="42"/>
      <w:szCs w:val="42"/>
    </w:rPr>
  </w:style>
  <w:style w:type="paragraph" w:customStyle="1" w:styleId="32">
    <w:name w:val="BodyText1I2"/>
    <w:basedOn w:val="33"/>
    <w:qFormat/>
    <w:uiPriority w:val="0"/>
    <w:pPr>
      <w:ind w:firstLine="420" w:firstLineChars="200"/>
    </w:pPr>
    <w:rPr>
      <w:rFonts w:ascii="仿宋_GB2312" w:eastAsia="仿宋_GB2312"/>
      <w:sz w:val="32"/>
    </w:rPr>
  </w:style>
  <w:style w:type="paragraph" w:customStyle="1" w:styleId="33">
    <w:name w:val="BodyTextIndent"/>
    <w:basedOn w:val="1"/>
    <w:qFormat/>
    <w:uiPriority w:val="0"/>
    <w:pPr>
      <w:ind w:firstLine="645"/>
      <w:textAlignment w:val="baseline"/>
    </w:pPr>
  </w:style>
  <w:style w:type="paragraph" w:customStyle="1" w:styleId="34">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35">
    <w:name w:val="15.5正文（黑体） 章节"/>
    <w:basedOn w:val="1"/>
    <w:qFormat/>
    <w:uiPriority w:val="0"/>
    <w:pPr>
      <w:jc w:val="center"/>
    </w:pPr>
    <w:rPr>
      <w:rFonts w:ascii="方正书宋简体" w:hAnsi="方正书宋简体" w:eastAsia="黑体"/>
      <w:color w:val="000000"/>
      <w:sz w:val="31"/>
      <w:szCs w:val="31"/>
    </w:rPr>
  </w:style>
  <w:style w:type="paragraph" w:customStyle="1" w:styleId="36">
    <w:name w:val="样式1"/>
    <w:basedOn w:val="1"/>
    <w:qFormat/>
    <w:uiPriority w:val="0"/>
    <w:pPr>
      <w:jc w:val="center"/>
    </w:pPr>
    <w:rPr>
      <w:rFonts w:hint="eastAsia" w:ascii="方正小标宋_GBK" w:hAnsi="方正小标宋_GBK" w:eastAsia="方正小标宋_GBK" w:cs="方正小标宋_GBK"/>
      <w:sz w:val="44"/>
      <w:szCs w:val="44"/>
    </w:rPr>
  </w:style>
  <w:style w:type="paragraph" w:customStyle="1" w:styleId="37">
    <w:name w:val="15.5正文（仿宋GB）"/>
    <w:basedOn w:val="1"/>
    <w:qFormat/>
    <w:uiPriority w:val="0"/>
    <w:pPr>
      <w:ind w:firstLine="200" w:firstLineChars="200"/>
    </w:pPr>
    <w:rPr>
      <w:rFonts w:ascii="方正书宋简体" w:hAnsi="方正书宋简体" w:eastAsia="仿宋_GB2312"/>
      <w:color w:val="000000"/>
      <w:sz w:val="31"/>
      <w:szCs w:val="31"/>
    </w:rPr>
  </w:style>
  <w:style w:type="paragraph" w:customStyle="1" w:styleId="38">
    <w:name w:val="Table Text"/>
    <w:basedOn w:val="1"/>
    <w:semiHidden/>
    <w:qFormat/>
    <w:uiPriority w:val="0"/>
    <w:pPr>
      <w:widowControl w:val="0"/>
      <w:spacing w:line="300" w:lineRule="exact"/>
      <w:ind w:left="11" w:right="105" w:rightChars="50" w:hanging="11"/>
      <w:jc w:val="both"/>
    </w:pPr>
    <w:rPr>
      <w:rFonts w:ascii="宋体" w:hAnsi="宋体" w:cs="宋体"/>
      <w:sz w:val="20"/>
      <w:szCs w:val="20"/>
    </w:rPr>
  </w:style>
  <w:style w:type="table" w:customStyle="1" w:styleId="39">
    <w:name w:val="Table Normal"/>
    <w:unhideWhenUsed/>
    <w:qFormat/>
    <w:uiPriority w:val="0"/>
    <w:tblPr>
      <w:tblCellMar>
        <w:top w:w="0" w:type="dxa"/>
        <w:left w:w="0" w:type="dxa"/>
        <w:bottom w:w="0" w:type="dxa"/>
        <w:right w:w="0" w:type="dxa"/>
      </w:tblCellMar>
    </w:tblPr>
  </w:style>
  <w:style w:type="paragraph" w:customStyle="1" w:styleId="40">
    <w:name w:val="Revision"/>
    <w:hidden/>
    <w:unhideWhenUsed/>
    <w:qFormat/>
    <w:uiPriority w:val="99"/>
    <w:rPr>
      <w:rFonts w:ascii="Calibri" w:hAnsi="NEU-BZ" w:eastAsia="宋体" w:cs="Times New Roman"/>
      <w:sz w:val="22"/>
      <w:szCs w:val="22"/>
      <w:lang w:val="en-US" w:eastAsia="zh-CN" w:bidi="ar-SA"/>
    </w:rPr>
  </w:style>
  <w:style w:type="character" w:customStyle="1" w:styleId="41">
    <w:name w:val="批注文字 字符"/>
    <w:basedOn w:val="19"/>
    <w:link w:val="6"/>
    <w:qFormat/>
    <w:uiPriority w:val="0"/>
    <w:rPr>
      <w:rFonts w:ascii="Calibri" w:hAnsi="NEU-BZ"/>
      <w:sz w:val="22"/>
      <w:szCs w:val="22"/>
    </w:rPr>
  </w:style>
  <w:style w:type="character" w:customStyle="1" w:styleId="42">
    <w:name w:val="批注主题 字符"/>
    <w:basedOn w:val="41"/>
    <w:link w:val="16"/>
    <w:qFormat/>
    <w:uiPriority w:val="0"/>
    <w:rPr>
      <w:rFonts w:ascii="Calibri" w:hAnsi="NEU-BZ"/>
      <w:b/>
      <w:bCs/>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5992</Words>
  <Characters>6102</Characters>
  <Lines>1930</Lines>
  <Paragraphs>970</Paragraphs>
  <TotalTime>1</TotalTime>
  <ScaleCrop>false</ScaleCrop>
  <LinksUpToDate>false</LinksUpToDate>
  <CharactersWithSpaces>6107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2026-10-21T14:53:00Z</dcterms:created>
  <dc:creator>t</dc:creator>
  <cp:lastModifiedBy>M</cp:lastModifiedBy>
  <cp:lastPrinted>2026-10-26T06:31:00Z</cp:lastPrinted>
  <dcterms:modified xsi:type="dcterms:W3CDTF">2026-10-29T08:29:54Z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6C0B95804F09492DB5013B416343A7DC</vt:lpwstr>
  </property>
  <property fmtid="{D5CDD505-2E9C-101B-9397-08002B2CF9AE}" pid="4" name="KSOTemplateDocerSaveRecord">
    <vt:lpwstr>eyJoZGlkIjoiNTBmMTIzZmNiNjE2ZmNkNTIwYzVlZTQ0ZmRkNTdjYzYiLCJ1c2VySWQiOiI0MjU2NDUzNDUifQ==</vt:lpwstr>
  </property>
</Properties>
</file>